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89"/>
        <w:ind w:left="2853" w:right="60" w:hanging="1844"/>
      </w:pPr>
      <w:r>
        <w:rPr/>
        <w:t>Rights</w:t>
      </w:r>
      <w:r>
        <w:rPr>
          <w:spacing w:val="-8"/>
        </w:rPr>
        <w:t> </w:t>
      </w:r>
      <w:r>
        <w:rPr/>
        <w:t>and</w:t>
      </w:r>
      <w:r>
        <w:rPr>
          <w:spacing w:val="-11"/>
        </w:rPr>
        <w:t> </w:t>
      </w:r>
      <w:r>
        <w:rPr/>
        <w:t>Obligations</w:t>
      </w:r>
      <w:r>
        <w:rPr>
          <w:spacing w:val="-6"/>
        </w:rPr>
        <w:t> </w:t>
      </w:r>
      <w:r>
        <w:rPr/>
        <w:t>of</w:t>
      </w:r>
      <w:r>
        <w:rPr>
          <w:spacing w:val="-12"/>
        </w:rPr>
        <w:t> </w:t>
      </w:r>
      <w:r>
        <w:rPr/>
        <w:t>Beneficial</w:t>
      </w:r>
      <w:r>
        <w:rPr>
          <w:spacing w:val="-8"/>
        </w:rPr>
        <w:t> </w:t>
      </w:r>
      <w:r>
        <w:rPr/>
        <w:t>Owner</w:t>
      </w:r>
      <w:r>
        <w:rPr>
          <w:spacing w:val="-12"/>
        </w:rPr>
        <w:t> </w:t>
      </w:r>
      <w:r>
        <w:rPr/>
        <w:t>and</w:t>
      </w:r>
      <w:r>
        <w:rPr>
          <w:spacing w:val="-7"/>
        </w:rPr>
        <w:t> </w:t>
      </w:r>
      <w:r>
        <w:rPr/>
        <w:t>Depository</w:t>
      </w:r>
      <w:r>
        <w:rPr>
          <w:spacing w:val="-10"/>
        </w:rPr>
        <w:t> </w:t>
      </w:r>
      <w:r>
        <w:rPr/>
        <w:t>Participant</w:t>
      </w:r>
      <w:r>
        <w:rPr>
          <w:spacing w:val="-7"/>
        </w:rPr>
        <w:t> </w:t>
      </w:r>
      <w:r>
        <w:rPr/>
        <w:t>as prescribed by SEBI and Depositories</w:t>
      </w:r>
    </w:p>
    <w:p>
      <w:pPr>
        <w:pStyle w:val="BodyText"/>
        <w:spacing w:before="34"/>
        <w:rPr>
          <w:b/>
        </w:rPr>
      </w:pPr>
    </w:p>
    <w:p>
      <w:pPr>
        <w:spacing w:before="0"/>
        <w:ind w:left="165" w:right="0" w:firstLine="0"/>
        <w:jc w:val="left"/>
        <w:rPr>
          <w:b/>
          <w:sz w:val="20"/>
        </w:rPr>
      </w:pPr>
      <w:r>
        <w:rPr>
          <w:b/>
          <w:sz w:val="20"/>
        </w:rPr>
        <w:t>General</w:t>
      </w:r>
      <w:r>
        <w:rPr>
          <w:b/>
          <w:spacing w:val="-14"/>
          <w:sz w:val="20"/>
        </w:rPr>
        <w:t> </w:t>
      </w:r>
      <w:r>
        <w:rPr>
          <w:b/>
          <w:spacing w:val="-2"/>
          <w:sz w:val="20"/>
        </w:rPr>
        <w:t>Clause</w:t>
      </w:r>
    </w:p>
    <w:p>
      <w:pPr>
        <w:pStyle w:val="ListParagraph"/>
        <w:numPr>
          <w:ilvl w:val="0"/>
          <w:numId w:val="1"/>
        </w:numPr>
        <w:tabs>
          <w:tab w:pos="882" w:val="left" w:leader="none"/>
          <w:tab w:pos="885" w:val="left" w:leader="none"/>
        </w:tabs>
        <w:spacing w:line="276" w:lineRule="auto" w:before="236" w:after="0"/>
        <w:ind w:left="885" w:right="155" w:hanging="361"/>
        <w:jc w:val="both"/>
        <w:rPr>
          <w:sz w:val="20"/>
        </w:rPr>
      </w:pPr>
      <w:r>
        <w:rPr>
          <w:sz w:val="20"/>
        </w:rPr>
        <w:t>The Beneficial Owner and the Depository participant (DP) shall be bound by the provisions of the</w:t>
      </w:r>
      <w:r>
        <w:rPr>
          <w:spacing w:val="-1"/>
          <w:sz w:val="20"/>
        </w:rPr>
        <w:t> </w:t>
      </w:r>
      <w:r>
        <w:rPr>
          <w:sz w:val="20"/>
        </w:rPr>
        <w:t>Depositories</w:t>
      </w:r>
      <w:r>
        <w:rPr>
          <w:spacing w:val="-1"/>
          <w:sz w:val="20"/>
        </w:rPr>
        <w:t> </w:t>
      </w:r>
      <w:r>
        <w:rPr>
          <w:sz w:val="20"/>
        </w:rPr>
        <w:t>Act, 1996, SEBI</w:t>
      </w:r>
      <w:r>
        <w:rPr>
          <w:spacing w:val="-1"/>
          <w:sz w:val="20"/>
        </w:rPr>
        <w:t> </w:t>
      </w:r>
      <w:r>
        <w:rPr>
          <w:sz w:val="20"/>
        </w:rPr>
        <w:t>(Depositories</w:t>
      </w:r>
      <w:r>
        <w:rPr>
          <w:spacing w:val="-1"/>
          <w:sz w:val="20"/>
        </w:rPr>
        <w:t> </w:t>
      </w:r>
      <w:r>
        <w:rPr>
          <w:sz w:val="20"/>
        </w:rPr>
        <w:t>and Participants)</w:t>
      </w:r>
      <w:r>
        <w:rPr>
          <w:spacing w:val="-2"/>
          <w:sz w:val="20"/>
        </w:rPr>
        <w:t> </w:t>
      </w:r>
      <w:r>
        <w:rPr>
          <w:sz w:val="20"/>
        </w:rPr>
        <w:t>Regulations, 2018,</w:t>
      </w:r>
      <w:r>
        <w:rPr>
          <w:spacing w:val="-3"/>
          <w:sz w:val="20"/>
        </w:rPr>
        <w:t> </w:t>
      </w:r>
      <w:r>
        <w:rPr>
          <w:sz w:val="20"/>
        </w:rPr>
        <w:t>Rules</w:t>
      </w:r>
      <w:r>
        <w:rPr>
          <w:spacing w:val="-1"/>
          <w:sz w:val="20"/>
        </w:rPr>
        <w:t> </w:t>
      </w:r>
      <w:r>
        <w:rPr>
          <w:sz w:val="20"/>
        </w:rPr>
        <w:t>and Regulations of Securities and Exchange Board of India (SEBI), Circulars / Notifications / Guidelines issued there under, Bye Laws and Business Rules/Operating Instructions issued by the Depositories and relevant notifications of</w:t>
      </w:r>
      <w:r>
        <w:rPr>
          <w:spacing w:val="-1"/>
          <w:sz w:val="20"/>
        </w:rPr>
        <w:t> </w:t>
      </w:r>
      <w:r>
        <w:rPr>
          <w:sz w:val="20"/>
        </w:rPr>
        <w:t>Government Authorities as</w:t>
      </w:r>
      <w:r>
        <w:rPr>
          <w:spacing w:val="-1"/>
          <w:sz w:val="20"/>
        </w:rPr>
        <w:t> </w:t>
      </w:r>
      <w:r>
        <w:rPr>
          <w:sz w:val="20"/>
        </w:rPr>
        <w:t>may be</w:t>
      </w:r>
      <w:r>
        <w:rPr>
          <w:spacing w:val="-3"/>
          <w:sz w:val="20"/>
        </w:rPr>
        <w:t> </w:t>
      </w:r>
      <w:r>
        <w:rPr>
          <w:sz w:val="20"/>
        </w:rPr>
        <w:t>in force from time to time.</w:t>
      </w:r>
    </w:p>
    <w:p>
      <w:pPr>
        <w:pStyle w:val="BodyText"/>
        <w:spacing w:before="37"/>
      </w:pPr>
    </w:p>
    <w:p>
      <w:pPr>
        <w:pStyle w:val="ListParagraph"/>
        <w:numPr>
          <w:ilvl w:val="0"/>
          <w:numId w:val="1"/>
        </w:numPr>
        <w:tabs>
          <w:tab w:pos="882" w:val="left" w:leader="none"/>
          <w:tab w:pos="885" w:val="left" w:leader="none"/>
        </w:tabs>
        <w:spacing w:line="276" w:lineRule="auto" w:before="0" w:after="0"/>
        <w:ind w:left="885" w:right="155" w:hanging="361"/>
        <w:jc w:val="both"/>
        <w:rPr>
          <w:sz w:val="20"/>
        </w:rPr>
      </w:pPr>
      <w:r>
        <w:rPr>
          <w:sz w:val="20"/>
        </w:rPr>
        <w:t>The</w:t>
      </w:r>
      <w:r>
        <w:rPr>
          <w:spacing w:val="-1"/>
          <w:sz w:val="20"/>
        </w:rPr>
        <w:t> </w:t>
      </w:r>
      <w:r>
        <w:rPr>
          <w:sz w:val="20"/>
        </w:rPr>
        <w:t>DP</w:t>
      </w:r>
      <w:r>
        <w:rPr>
          <w:spacing w:val="-1"/>
          <w:sz w:val="20"/>
        </w:rPr>
        <w:t> </w:t>
      </w:r>
      <w:r>
        <w:rPr>
          <w:sz w:val="20"/>
        </w:rPr>
        <w:t>shall</w:t>
      </w:r>
      <w:r>
        <w:rPr>
          <w:spacing w:val="-1"/>
          <w:sz w:val="20"/>
        </w:rPr>
        <w:t> </w:t>
      </w:r>
      <w:r>
        <w:rPr>
          <w:sz w:val="20"/>
        </w:rPr>
        <w:t>open/activate demat account</w:t>
      </w:r>
      <w:r>
        <w:rPr>
          <w:spacing w:val="-2"/>
          <w:sz w:val="20"/>
        </w:rPr>
        <w:t> </w:t>
      </w:r>
      <w:r>
        <w:rPr>
          <w:sz w:val="20"/>
        </w:rPr>
        <w:t>of</w:t>
      </w:r>
      <w:r>
        <w:rPr>
          <w:spacing w:val="-4"/>
          <w:sz w:val="20"/>
        </w:rPr>
        <w:t> </w:t>
      </w:r>
      <w:r>
        <w:rPr>
          <w:sz w:val="20"/>
        </w:rPr>
        <w:t>a</w:t>
      </w:r>
      <w:r>
        <w:rPr>
          <w:spacing w:val="-2"/>
          <w:sz w:val="20"/>
        </w:rPr>
        <w:t> </w:t>
      </w:r>
      <w:r>
        <w:rPr>
          <w:sz w:val="20"/>
        </w:rPr>
        <w:t>beneficial</w:t>
      </w:r>
      <w:r>
        <w:rPr>
          <w:spacing w:val="-3"/>
          <w:sz w:val="20"/>
        </w:rPr>
        <w:t> </w:t>
      </w:r>
      <w:r>
        <w:rPr>
          <w:sz w:val="20"/>
        </w:rPr>
        <w:t>owner</w:t>
      </w:r>
      <w:r>
        <w:rPr>
          <w:spacing w:val="-1"/>
          <w:sz w:val="20"/>
        </w:rPr>
        <w:t> </w:t>
      </w:r>
      <w:r>
        <w:rPr>
          <w:sz w:val="20"/>
        </w:rPr>
        <w:t>in</w:t>
      </w:r>
      <w:r>
        <w:rPr>
          <w:spacing w:val="-3"/>
          <w:sz w:val="20"/>
        </w:rPr>
        <w:t> </w:t>
      </w:r>
      <w:r>
        <w:rPr>
          <w:sz w:val="20"/>
        </w:rPr>
        <w:t>the</w:t>
      </w:r>
      <w:r>
        <w:rPr>
          <w:spacing w:val="-1"/>
          <w:sz w:val="20"/>
        </w:rPr>
        <w:t> </w:t>
      </w:r>
      <w:r>
        <w:rPr>
          <w:sz w:val="20"/>
        </w:rPr>
        <w:t>depository</w:t>
      </w:r>
      <w:r>
        <w:rPr>
          <w:spacing w:val="-3"/>
          <w:sz w:val="20"/>
        </w:rPr>
        <w:t> </w:t>
      </w:r>
      <w:r>
        <w:rPr>
          <w:sz w:val="20"/>
        </w:rPr>
        <w:t>system only after receipt of complete Account opening form, KYC and supporting documents as specified by SEBI from time to time.</w:t>
      </w:r>
    </w:p>
    <w:p>
      <w:pPr>
        <w:pStyle w:val="Heading1"/>
      </w:pPr>
      <w:r>
        <w:rPr>
          <w:spacing w:val="-2"/>
        </w:rPr>
        <w:t>Beneficial</w:t>
      </w:r>
      <w:r>
        <w:rPr>
          <w:spacing w:val="-3"/>
        </w:rPr>
        <w:t> </w:t>
      </w:r>
      <w:r>
        <w:rPr>
          <w:spacing w:val="-2"/>
        </w:rPr>
        <w:t>Owner</w:t>
      </w:r>
      <w:r>
        <w:rPr>
          <w:spacing w:val="-1"/>
        </w:rPr>
        <w:t> </w:t>
      </w:r>
      <w:r>
        <w:rPr>
          <w:spacing w:val="-2"/>
        </w:rPr>
        <w:t>information</w:t>
      </w:r>
    </w:p>
    <w:p>
      <w:pPr>
        <w:pStyle w:val="ListParagraph"/>
        <w:numPr>
          <w:ilvl w:val="0"/>
          <w:numId w:val="1"/>
        </w:numPr>
        <w:tabs>
          <w:tab w:pos="882" w:val="left" w:leader="none"/>
          <w:tab w:pos="885" w:val="left" w:leader="none"/>
        </w:tabs>
        <w:spacing w:line="276" w:lineRule="auto" w:before="236" w:after="0"/>
        <w:ind w:left="885" w:right="156" w:hanging="361"/>
        <w:jc w:val="both"/>
        <w:rPr>
          <w:sz w:val="20"/>
        </w:rPr>
      </w:pPr>
      <w:r>
        <w:rPr>
          <w:sz w:val="20"/>
        </w:rPr>
        <w:t>The DP shall maintain all the details of the beneficial owner(s) as mentioned in the account opening form, supporting documents submitted by them and/or any other information pertaining</w:t>
      </w:r>
      <w:r>
        <w:rPr>
          <w:spacing w:val="-3"/>
          <w:sz w:val="20"/>
        </w:rPr>
        <w:t> </w:t>
      </w:r>
      <w:r>
        <w:rPr>
          <w:sz w:val="20"/>
        </w:rPr>
        <w:t>to</w:t>
      </w:r>
      <w:r>
        <w:rPr>
          <w:spacing w:val="-3"/>
          <w:sz w:val="20"/>
        </w:rPr>
        <w:t> </w:t>
      </w:r>
      <w:r>
        <w:rPr>
          <w:sz w:val="20"/>
        </w:rPr>
        <w:t>the beneficial owner</w:t>
      </w:r>
      <w:r>
        <w:rPr>
          <w:spacing w:val="-3"/>
          <w:sz w:val="20"/>
        </w:rPr>
        <w:t> </w:t>
      </w:r>
      <w:r>
        <w:rPr>
          <w:sz w:val="20"/>
        </w:rPr>
        <w:t>confidentially</w:t>
      </w:r>
      <w:r>
        <w:rPr>
          <w:spacing w:val="-3"/>
          <w:sz w:val="20"/>
        </w:rPr>
        <w:t> </w:t>
      </w:r>
      <w:r>
        <w:rPr>
          <w:sz w:val="20"/>
        </w:rPr>
        <w:t>and shall</w:t>
      </w:r>
      <w:r>
        <w:rPr>
          <w:spacing w:val="-5"/>
          <w:sz w:val="20"/>
        </w:rPr>
        <w:t> </w:t>
      </w:r>
      <w:r>
        <w:rPr>
          <w:sz w:val="20"/>
        </w:rPr>
        <w:t>not disclose</w:t>
      </w:r>
      <w:r>
        <w:rPr>
          <w:spacing w:val="-1"/>
          <w:sz w:val="20"/>
        </w:rPr>
        <w:t> </w:t>
      </w:r>
      <w:r>
        <w:rPr>
          <w:sz w:val="20"/>
        </w:rPr>
        <w:t>the same</w:t>
      </w:r>
      <w:r>
        <w:rPr>
          <w:spacing w:val="-1"/>
          <w:sz w:val="20"/>
        </w:rPr>
        <w:t> </w:t>
      </w:r>
      <w:r>
        <w:rPr>
          <w:sz w:val="20"/>
        </w:rPr>
        <w:t>to</w:t>
      </w:r>
      <w:r>
        <w:rPr>
          <w:spacing w:val="-4"/>
          <w:sz w:val="20"/>
        </w:rPr>
        <w:t> </w:t>
      </w:r>
      <w:r>
        <w:rPr>
          <w:sz w:val="20"/>
        </w:rPr>
        <w:t>any</w:t>
      </w:r>
      <w:r>
        <w:rPr>
          <w:spacing w:val="-3"/>
          <w:sz w:val="20"/>
        </w:rPr>
        <w:t> </w:t>
      </w:r>
      <w:r>
        <w:rPr>
          <w:sz w:val="20"/>
        </w:rPr>
        <w:t>person except as required by any statutory, legal or regulatory authority in this regard.</w:t>
      </w:r>
    </w:p>
    <w:p>
      <w:pPr>
        <w:pStyle w:val="BodyText"/>
        <w:spacing w:before="38"/>
      </w:pPr>
    </w:p>
    <w:p>
      <w:pPr>
        <w:pStyle w:val="ListParagraph"/>
        <w:numPr>
          <w:ilvl w:val="0"/>
          <w:numId w:val="1"/>
        </w:numPr>
        <w:tabs>
          <w:tab w:pos="882" w:val="left" w:leader="none"/>
          <w:tab w:pos="885" w:val="left" w:leader="none"/>
        </w:tabs>
        <w:spacing w:line="276" w:lineRule="auto" w:before="0" w:after="0"/>
        <w:ind w:left="885" w:right="152" w:hanging="361"/>
        <w:jc w:val="both"/>
        <w:rPr>
          <w:sz w:val="20"/>
        </w:rPr>
      </w:pPr>
      <w:r>
        <w:rPr>
          <w:sz w:val="20"/>
        </w:rPr>
        <w:t>The</w:t>
      </w:r>
      <w:r>
        <w:rPr>
          <w:spacing w:val="-11"/>
          <w:sz w:val="20"/>
        </w:rPr>
        <w:t> </w:t>
      </w:r>
      <w:r>
        <w:rPr>
          <w:sz w:val="20"/>
        </w:rPr>
        <w:t>Beneficial</w:t>
      </w:r>
      <w:r>
        <w:rPr>
          <w:spacing w:val="-13"/>
          <w:sz w:val="20"/>
        </w:rPr>
        <w:t> </w:t>
      </w:r>
      <w:r>
        <w:rPr>
          <w:sz w:val="20"/>
        </w:rPr>
        <w:t>Owner</w:t>
      </w:r>
      <w:r>
        <w:rPr>
          <w:spacing w:val="-11"/>
          <w:sz w:val="20"/>
        </w:rPr>
        <w:t> </w:t>
      </w:r>
      <w:r>
        <w:rPr>
          <w:sz w:val="20"/>
        </w:rPr>
        <w:t>shall</w:t>
      </w:r>
      <w:r>
        <w:rPr>
          <w:spacing w:val="-11"/>
          <w:sz w:val="20"/>
        </w:rPr>
        <w:t> </w:t>
      </w:r>
      <w:r>
        <w:rPr>
          <w:sz w:val="20"/>
        </w:rPr>
        <w:t>immediately</w:t>
      </w:r>
      <w:r>
        <w:rPr>
          <w:spacing w:val="-13"/>
          <w:sz w:val="20"/>
        </w:rPr>
        <w:t> </w:t>
      </w:r>
      <w:r>
        <w:rPr>
          <w:sz w:val="20"/>
        </w:rPr>
        <w:t>notify</w:t>
      </w:r>
      <w:r>
        <w:rPr>
          <w:spacing w:val="-13"/>
          <w:sz w:val="20"/>
        </w:rPr>
        <w:t> </w:t>
      </w:r>
      <w:r>
        <w:rPr>
          <w:sz w:val="20"/>
        </w:rPr>
        <w:t>the</w:t>
      </w:r>
      <w:r>
        <w:rPr>
          <w:spacing w:val="-9"/>
          <w:sz w:val="20"/>
        </w:rPr>
        <w:t> </w:t>
      </w:r>
      <w:r>
        <w:rPr>
          <w:sz w:val="20"/>
        </w:rPr>
        <w:t>DP</w:t>
      </w:r>
      <w:r>
        <w:rPr>
          <w:spacing w:val="-9"/>
          <w:sz w:val="20"/>
        </w:rPr>
        <w:t> </w:t>
      </w:r>
      <w:r>
        <w:rPr>
          <w:sz w:val="20"/>
        </w:rPr>
        <w:t>in</w:t>
      </w:r>
      <w:r>
        <w:rPr>
          <w:spacing w:val="-7"/>
          <w:sz w:val="20"/>
        </w:rPr>
        <w:t> </w:t>
      </w:r>
      <w:r>
        <w:rPr>
          <w:sz w:val="20"/>
        </w:rPr>
        <w:t>writing,</w:t>
      </w:r>
      <w:r>
        <w:rPr>
          <w:spacing w:val="-13"/>
          <w:sz w:val="20"/>
        </w:rPr>
        <w:t> </w:t>
      </w:r>
      <w:r>
        <w:rPr>
          <w:sz w:val="20"/>
        </w:rPr>
        <w:t>if</w:t>
      </w:r>
      <w:r>
        <w:rPr>
          <w:spacing w:val="-13"/>
          <w:sz w:val="20"/>
        </w:rPr>
        <w:t> </w:t>
      </w:r>
      <w:r>
        <w:rPr>
          <w:sz w:val="20"/>
        </w:rPr>
        <w:t>there</w:t>
      </w:r>
      <w:r>
        <w:rPr>
          <w:spacing w:val="-8"/>
          <w:sz w:val="20"/>
        </w:rPr>
        <w:t> </w:t>
      </w:r>
      <w:r>
        <w:rPr>
          <w:sz w:val="20"/>
        </w:rPr>
        <w:t>is</w:t>
      </w:r>
      <w:r>
        <w:rPr>
          <w:spacing w:val="-11"/>
          <w:sz w:val="20"/>
        </w:rPr>
        <w:t> </w:t>
      </w:r>
      <w:r>
        <w:rPr>
          <w:sz w:val="20"/>
        </w:rPr>
        <w:t>any</w:t>
      </w:r>
      <w:r>
        <w:rPr>
          <w:spacing w:val="-11"/>
          <w:sz w:val="20"/>
        </w:rPr>
        <w:t> </w:t>
      </w:r>
      <w:r>
        <w:rPr>
          <w:sz w:val="20"/>
        </w:rPr>
        <w:t>change in</w:t>
      </w:r>
      <w:r>
        <w:rPr>
          <w:spacing w:val="-13"/>
          <w:sz w:val="20"/>
        </w:rPr>
        <w:t> </w:t>
      </w:r>
      <w:r>
        <w:rPr>
          <w:sz w:val="20"/>
        </w:rPr>
        <w:t>details provided</w:t>
      </w:r>
      <w:r>
        <w:rPr>
          <w:spacing w:val="-7"/>
          <w:sz w:val="20"/>
        </w:rPr>
        <w:t> </w:t>
      </w:r>
      <w:r>
        <w:rPr>
          <w:sz w:val="20"/>
        </w:rPr>
        <w:t>in</w:t>
      </w:r>
      <w:r>
        <w:rPr>
          <w:spacing w:val="-10"/>
          <w:sz w:val="20"/>
        </w:rPr>
        <w:t> </w:t>
      </w:r>
      <w:r>
        <w:rPr>
          <w:sz w:val="20"/>
        </w:rPr>
        <w:t>the</w:t>
      </w:r>
      <w:r>
        <w:rPr>
          <w:spacing w:val="-6"/>
          <w:sz w:val="20"/>
        </w:rPr>
        <w:t> </w:t>
      </w:r>
      <w:r>
        <w:rPr>
          <w:sz w:val="20"/>
        </w:rPr>
        <w:t>account</w:t>
      </w:r>
      <w:r>
        <w:rPr>
          <w:spacing w:val="-7"/>
          <w:sz w:val="20"/>
        </w:rPr>
        <w:t> </w:t>
      </w:r>
      <w:r>
        <w:rPr>
          <w:sz w:val="20"/>
        </w:rPr>
        <w:t>opening</w:t>
      </w:r>
      <w:r>
        <w:rPr>
          <w:spacing w:val="-7"/>
          <w:sz w:val="20"/>
        </w:rPr>
        <w:t> </w:t>
      </w:r>
      <w:r>
        <w:rPr>
          <w:sz w:val="20"/>
        </w:rPr>
        <w:t>form</w:t>
      </w:r>
      <w:r>
        <w:rPr>
          <w:spacing w:val="-8"/>
          <w:sz w:val="20"/>
        </w:rPr>
        <w:t> </w:t>
      </w:r>
      <w:r>
        <w:rPr>
          <w:sz w:val="20"/>
        </w:rPr>
        <w:t>as</w:t>
      </w:r>
      <w:r>
        <w:rPr>
          <w:spacing w:val="-8"/>
          <w:sz w:val="20"/>
        </w:rPr>
        <w:t> </w:t>
      </w:r>
      <w:r>
        <w:rPr>
          <w:sz w:val="20"/>
        </w:rPr>
        <w:t>submitted</w:t>
      </w:r>
      <w:r>
        <w:rPr>
          <w:spacing w:val="-7"/>
          <w:sz w:val="20"/>
        </w:rPr>
        <w:t> </w:t>
      </w:r>
      <w:r>
        <w:rPr>
          <w:sz w:val="20"/>
        </w:rPr>
        <w:t>to</w:t>
      </w:r>
      <w:r>
        <w:rPr>
          <w:spacing w:val="-10"/>
          <w:sz w:val="20"/>
        </w:rPr>
        <w:t> </w:t>
      </w:r>
      <w:r>
        <w:rPr>
          <w:sz w:val="20"/>
        </w:rPr>
        <w:t>the</w:t>
      </w:r>
      <w:r>
        <w:rPr>
          <w:spacing w:val="-8"/>
          <w:sz w:val="20"/>
        </w:rPr>
        <w:t> </w:t>
      </w:r>
      <w:r>
        <w:rPr>
          <w:sz w:val="20"/>
        </w:rPr>
        <w:t>DP</w:t>
      </w:r>
      <w:r>
        <w:rPr>
          <w:spacing w:val="-8"/>
          <w:sz w:val="20"/>
        </w:rPr>
        <w:t> </w:t>
      </w:r>
      <w:r>
        <w:rPr>
          <w:sz w:val="20"/>
        </w:rPr>
        <w:t>at</w:t>
      </w:r>
      <w:r>
        <w:rPr>
          <w:spacing w:val="-7"/>
          <w:sz w:val="20"/>
        </w:rPr>
        <w:t> </w:t>
      </w:r>
      <w:r>
        <w:rPr>
          <w:sz w:val="20"/>
        </w:rPr>
        <w:t>the</w:t>
      </w:r>
      <w:r>
        <w:rPr>
          <w:spacing w:val="-6"/>
          <w:sz w:val="20"/>
        </w:rPr>
        <w:t> </w:t>
      </w:r>
      <w:r>
        <w:rPr>
          <w:sz w:val="20"/>
        </w:rPr>
        <w:t>time</w:t>
      </w:r>
      <w:r>
        <w:rPr>
          <w:spacing w:val="-6"/>
          <w:sz w:val="20"/>
        </w:rPr>
        <w:t> </w:t>
      </w:r>
      <w:r>
        <w:rPr>
          <w:sz w:val="20"/>
        </w:rPr>
        <w:t>of</w:t>
      </w:r>
      <w:r>
        <w:rPr>
          <w:spacing w:val="-4"/>
          <w:sz w:val="20"/>
        </w:rPr>
        <w:t> </w:t>
      </w:r>
      <w:r>
        <w:rPr>
          <w:sz w:val="20"/>
        </w:rPr>
        <w:t>opening</w:t>
      </w:r>
      <w:r>
        <w:rPr>
          <w:spacing w:val="-8"/>
          <w:sz w:val="20"/>
        </w:rPr>
        <w:t> </w:t>
      </w:r>
      <w:r>
        <w:rPr>
          <w:sz w:val="20"/>
        </w:rPr>
        <w:t>the</w:t>
      </w:r>
      <w:r>
        <w:rPr>
          <w:spacing w:val="-6"/>
          <w:sz w:val="20"/>
        </w:rPr>
        <w:t> </w:t>
      </w:r>
      <w:r>
        <w:rPr>
          <w:sz w:val="20"/>
        </w:rPr>
        <w:t>demat account or furnished to the DP from time to time.</w:t>
      </w:r>
    </w:p>
    <w:p>
      <w:pPr>
        <w:pStyle w:val="Heading1"/>
      </w:pPr>
      <w:r>
        <w:rPr>
          <w:spacing w:val="-2"/>
        </w:rPr>
        <w:t>Fees/Charges/Tariff</w:t>
      </w:r>
    </w:p>
    <w:p>
      <w:pPr>
        <w:pStyle w:val="ListParagraph"/>
        <w:numPr>
          <w:ilvl w:val="0"/>
          <w:numId w:val="1"/>
        </w:numPr>
        <w:tabs>
          <w:tab w:pos="882" w:val="left" w:leader="none"/>
          <w:tab w:pos="885" w:val="left" w:leader="none"/>
        </w:tabs>
        <w:spacing w:line="271" w:lineRule="auto" w:before="237" w:after="0"/>
        <w:ind w:left="885" w:right="151" w:hanging="361"/>
        <w:jc w:val="both"/>
        <w:rPr>
          <w:sz w:val="20"/>
        </w:rPr>
      </w:pPr>
      <w:r>
        <w:rPr>
          <w:sz w:val="20"/>
        </w:rPr>
        <w:t>The</w:t>
      </w:r>
      <w:r>
        <w:rPr>
          <w:spacing w:val="-3"/>
          <w:sz w:val="20"/>
        </w:rPr>
        <w:t> </w:t>
      </w:r>
      <w:r>
        <w:rPr>
          <w:sz w:val="20"/>
        </w:rPr>
        <w:t>Beneficial</w:t>
      </w:r>
      <w:r>
        <w:rPr>
          <w:spacing w:val="-5"/>
          <w:sz w:val="20"/>
        </w:rPr>
        <w:t> </w:t>
      </w:r>
      <w:r>
        <w:rPr>
          <w:sz w:val="20"/>
        </w:rPr>
        <w:t>Owner</w:t>
      </w:r>
      <w:r>
        <w:rPr>
          <w:spacing w:val="-3"/>
          <w:sz w:val="20"/>
        </w:rPr>
        <w:t> </w:t>
      </w:r>
      <w:r>
        <w:rPr>
          <w:sz w:val="20"/>
        </w:rPr>
        <w:t>shall</w:t>
      </w:r>
      <w:r>
        <w:rPr>
          <w:spacing w:val="-3"/>
          <w:sz w:val="20"/>
        </w:rPr>
        <w:t> </w:t>
      </w:r>
      <w:r>
        <w:rPr>
          <w:sz w:val="20"/>
        </w:rPr>
        <w:t>pay</w:t>
      </w:r>
      <w:r>
        <w:rPr>
          <w:spacing w:val="-7"/>
          <w:sz w:val="20"/>
        </w:rPr>
        <w:t> </w:t>
      </w:r>
      <w:r>
        <w:rPr>
          <w:sz w:val="20"/>
        </w:rPr>
        <w:t>such</w:t>
      </w:r>
      <w:r>
        <w:rPr>
          <w:spacing w:val="-3"/>
          <w:sz w:val="20"/>
        </w:rPr>
        <w:t> </w:t>
      </w:r>
      <w:r>
        <w:rPr>
          <w:sz w:val="20"/>
        </w:rPr>
        <w:t>charges</w:t>
      </w:r>
      <w:r>
        <w:rPr>
          <w:spacing w:val="-3"/>
          <w:sz w:val="20"/>
        </w:rPr>
        <w:t> </w:t>
      </w:r>
      <w:r>
        <w:rPr>
          <w:sz w:val="20"/>
        </w:rPr>
        <w:t>to</w:t>
      </w:r>
      <w:r>
        <w:rPr>
          <w:spacing w:val="-4"/>
          <w:sz w:val="20"/>
        </w:rPr>
        <w:t> </w:t>
      </w:r>
      <w:r>
        <w:rPr>
          <w:sz w:val="20"/>
        </w:rPr>
        <w:t>the</w:t>
      </w:r>
      <w:r>
        <w:rPr>
          <w:spacing w:val="-1"/>
          <w:sz w:val="20"/>
        </w:rPr>
        <w:t> </w:t>
      </w:r>
      <w:r>
        <w:rPr>
          <w:sz w:val="20"/>
        </w:rPr>
        <w:t>DP for</w:t>
      </w:r>
      <w:r>
        <w:rPr>
          <w:spacing w:val="-5"/>
          <w:sz w:val="20"/>
        </w:rPr>
        <w:t> </w:t>
      </w:r>
      <w:r>
        <w:rPr>
          <w:sz w:val="20"/>
        </w:rPr>
        <w:t>the</w:t>
      </w:r>
      <w:r>
        <w:rPr>
          <w:spacing w:val="-3"/>
          <w:sz w:val="20"/>
        </w:rPr>
        <w:t> </w:t>
      </w:r>
      <w:r>
        <w:rPr>
          <w:sz w:val="20"/>
        </w:rPr>
        <w:t>purpose of</w:t>
      </w:r>
      <w:r>
        <w:rPr>
          <w:spacing w:val="-7"/>
          <w:sz w:val="20"/>
        </w:rPr>
        <w:t> </w:t>
      </w:r>
      <w:r>
        <w:rPr>
          <w:sz w:val="20"/>
        </w:rPr>
        <w:t>holding and transfer of securities in dematerialized form and for availing depository services as may be agreed to from time to time between the DP and the Beneficial Owner as set out in the Tariff Sheet provided</w:t>
      </w:r>
      <w:r>
        <w:rPr>
          <w:spacing w:val="-4"/>
          <w:sz w:val="20"/>
        </w:rPr>
        <w:t> </w:t>
      </w:r>
      <w:r>
        <w:rPr>
          <w:sz w:val="20"/>
        </w:rPr>
        <w:t>by</w:t>
      </w:r>
      <w:r>
        <w:rPr>
          <w:spacing w:val="-7"/>
          <w:sz w:val="20"/>
        </w:rPr>
        <w:t> </w:t>
      </w:r>
      <w:r>
        <w:rPr>
          <w:sz w:val="20"/>
        </w:rPr>
        <w:t>the</w:t>
      </w:r>
      <w:r>
        <w:rPr>
          <w:spacing w:val="-3"/>
          <w:sz w:val="20"/>
        </w:rPr>
        <w:t> </w:t>
      </w:r>
      <w:r>
        <w:rPr>
          <w:sz w:val="20"/>
        </w:rPr>
        <w:t>DP.</w:t>
      </w:r>
      <w:r>
        <w:rPr>
          <w:spacing w:val="-4"/>
          <w:sz w:val="20"/>
        </w:rPr>
        <w:t> </w:t>
      </w:r>
      <w:r>
        <w:rPr>
          <w:sz w:val="20"/>
        </w:rPr>
        <w:t>It</w:t>
      </w:r>
      <w:r>
        <w:rPr>
          <w:spacing w:val="-5"/>
          <w:sz w:val="20"/>
        </w:rPr>
        <w:t> </w:t>
      </w:r>
      <w:r>
        <w:rPr>
          <w:sz w:val="20"/>
        </w:rPr>
        <w:t>may be</w:t>
      </w:r>
      <w:r>
        <w:rPr>
          <w:spacing w:val="-5"/>
          <w:sz w:val="20"/>
        </w:rPr>
        <w:t> </w:t>
      </w:r>
      <w:r>
        <w:rPr>
          <w:sz w:val="20"/>
        </w:rPr>
        <w:t>informed</w:t>
      </w:r>
      <w:r>
        <w:rPr>
          <w:spacing w:val="-4"/>
          <w:sz w:val="20"/>
        </w:rPr>
        <w:t> </w:t>
      </w:r>
      <w:r>
        <w:rPr>
          <w:sz w:val="20"/>
        </w:rPr>
        <w:t>to</w:t>
      </w:r>
      <w:r>
        <w:rPr>
          <w:spacing w:val="-7"/>
          <w:sz w:val="20"/>
        </w:rPr>
        <w:t> </w:t>
      </w:r>
      <w:r>
        <w:rPr>
          <w:sz w:val="20"/>
        </w:rPr>
        <w:t>the</w:t>
      </w:r>
      <w:r>
        <w:rPr>
          <w:spacing w:val="-3"/>
          <w:sz w:val="20"/>
        </w:rPr>
        <w:t> </w:t>
      </w:r>
      <w:r>
        <w:rPr>
          <w:sz w:val="20"/>
        </w:rPr>
        <w:t>Beneficial</w:t>
      </w:r>
      <w:r>
        <w:rPr>
          <w:spacing w:val="-5"/>
          <w:sz w:val="20"/>
        </w:rPr>
        <w:t> </w:t>
      </w:r>
      <w:r>
        <w:rPr>
          <w:sz w:val="20"/>
        </w:rPr>
        <w:t>Owner</w:t>
      </w:r>
      <w:r>
        <w:rPr>
          <w:spacing w:val="-5"/>
          <w:sz w:val="20"/>
        </w:rPr>
        <w:t> </w:t>
      </w:r>
      <w:r>
        <w:rPr>
          <w:sz w:val="20"/>
        </w:rPr>
        <w:t>that</w:t>
      </w:r>
      <w:r>
        <w:rPr>
          <w:spacing w:val="-4"/>
          <w:sz w:val="20"/>
        </w:rPr>
        <w:t> </w:t>
      </w:r>
      <w:r>
        <w:rPr>
          <w:sz w:val="20"/>
        </w:rPr>
        <w:t>"</w:t>
      </w:r>
      <w:r>
        <w:rPr>
          <w:sz w:val="21"/>
        </w:rPr>
        <w:t>no</w:t>
      </w:r>
      <w:r>
        <w:rPr>
          <w:spacing w:val="-5"/>
          <w:sz w:val="21"/>
        </w:rPr>
        <w:t> </w:t>
      </w:r>
      <w:r>
        <w:rPr>
          <w:sz w:val="21"/>
        </w:rPr>
        <w:t>charges</w:t>
      </w:r>
      <w:r>
        <w:rPr>
          <w:spacing w:val="-8"/>
          <w:sz w:val="21"/>
        </w:rPr>
        <w:t> </w:t>
      </w:r>
      <w:r>
        <w:rPr>
          <w:sz w:val="21"/>
        </w:rPr>
        <w:t>are</w:t>
      </w:r>
      <w:r>
        <w:rPr>
          <w:spacing w:val="-8"/>
          <w:sz w:val="21"/>
        </w:rPr>
        <w:t> </w:t>
      </w:r>
      <w:r>
        <w:rPr>
          <w:sz w:val="21"/>
        </w:rPr>
        <w:t>payable for opening of demat accounts</w:t>
      </w:r>
      <w:r>
        <w:rPr>
          <w:sz w:val="20"/>
        </w:rPr>
        <w:t>”</w:t>
      </w:r>
    </w:p>
    <w:p>
      <w:pPr>
        <w:pStyle w:val="BodyText"/>
        <w:spacing w:before="32"/>
      </w:pPr>
    </w:p>
    <w:p>
      <w:pPr>
        <w:pStyle w:val="ListParagraph"/>
        <w:numPr>
          <w:ilvl w:val="0"/>
          <w:numId w:val="1"/>
        </w:numPr>
        <w:tabs>
          <w:tab w:pos="882" w:val="left" w:leader="none"/>
          <w:tab w:pos="885" w:val="left" w:leader="none"/>
        </w:tabs>
        <w:spacing w:line="276" w:lineRule="auto" w:before="0" w:after="0"/>
        <w:ind w:left="885" w:right="154" w:hanging="361"/>
        <w:jc w:val="both"/>
        <w:rPr>
          <w:sz w:val="20"/>
        </w:rPr>
      </w:pPr>
      <w:r>
        <w:rPr>
          <w:sz w:val="20"/>
        </w:rPr>
        <w:t>In case of Basic Services Demat Accounts, the DP shall adhere to the charge structure as laid down under the relevant SEBI and/or Depository circulars/directions/notifications issued from time to time.</w:t>
      </w:r>
    </w:p>
    <w:p>
      <w:pPr>
        <w:pStyle w:val="BodyText"/>
        <w:spacing w:before="35"/>
      </w:pPr>
    </w:p>
    <w:p>
      <w:pPr>
        <w:pStyle w:val="ListParagraph"/>
        <w:numPr>
          <w:ilvl w:val="0"/>
          <w:numId w:val="1"/>
        </w:numPr>
        <w:tabs>
          <w:tab w:pos="882" w:val="left" w:leader="none"/>
          <w:tab w:pos="885" w:val="left" w:leader="none"/>
        </w:tabs>
        <w:spacing w:line="273" w:lineRule="auto" w:before="0" w:after="0"/>
        <w:ind w:left="885" w:right="156" w:hanging="361"/>
        <w:jc w:val="both"/>
        <w:rPr>
          <w:sz w:val="20"/>
        </w:rPr>
      </w:pPr>
      <w:r>
        <w:rPr>
          <w:sz w:val="20"/>
        </w:rPr>
        <w:t>The</w:t>
      </w:r>
      <w:r>
        <w:rPr>
          <w:spacing w:val="-6"/>
          <w:sz w:val="20"/>
        </w:rPr>
        <w:t> </w:t>
      </w:r>
      <w:r>
        <w:rPr>
          <w:sz w:val="20"/>
        </w:rPr>
        <w:t>DP</w:t>
      </w:r>
      <w:r>
        <w:rPr>
          <w:spacing w:val="-6"/>
          <w:sz w:val="20"/>
        </w:rPr>
        <w:t> </w:t>
      </w:r>
      <w:r>
        <w:rPr>
          <w:sz w:val="20"/>
        </w:rPr>
        <w:t>shall</w:t>
      </w:r>
      <w:r>
        <w:rPr>
          <w:spacing w:val="-8"/>
          <w:sz w:val="20"/>
        </w:rPr>
        <w:t> </w:t>
      </w:r>
      <w:r>
        <w:rPr>
          <w:sz w:val="20"/>
        </w:rPr>
        <w:t>not</w:t>
      </w:r>
      <w:r>
        <w:rPr>
          <w:spacing w:val="-5"/>
          <w:sz w:val="20"/>
        </w:rPr>
        <w:t> </w:t>
      </w:r>
      <w:r>
        <w:rPr>
          <w:sz w:val="20"/>
        </w:rPr>
        <w:t>increase</w:t>
      </w:r>
      <w:r>
        <w:rPr>
          <w:spacing w:val="-6"/>
          <w:sz w:val="20"/>
        </w:rPr>
        <w:t> </w:t>
      </w:r>
      <w:r>
        <w:rPr>
          <w:sz w:val="20"/>
        </w:rPr>
        <w:t>any</w:t>
      </w:r>
      <w:r>
        <w:rPr>
          <w:spacing w:val="-6"/>
          <w:sz w:val="20"/>
        </w:rPr>
        <w:t> </w:t>
      </w:r>
      <w:r>
        <w:rPr>
          <w:sz w:val="20"/>
        </w:rPr>
        <w:t>charges/tariff</w:t>
      </w:r>
      <w:r>
        <w:rPr>
          <w:spacing w:val="-8"/>
          <w:sz w:val="20"/>
        </w:rPr>
        <w:t> </w:t>
      </w:r>
      <w:r>
        <w:rPr>
          <w:sz w:val="20"/>
        </w:rPr>
        <w:t>agreed</w:t>
      </w:r>
      <w:r>
        <w:rPr>
          <w:spacing w:val="-8"/>
          <w:sz w:val="20"/>
        </w:rPr>
        <w:t> </w:t>
      </w:r>
      <w:r>
        <w:rPr>
          <w:sz w:val="20"/>
        </w:rPr>
        <w:t>upon</w:t>
      </w:r>
      <w:r>
        <w:rPr>
          <w:spacing w:val="-8"/>
          <w:sz w:val="20"/>
        </w:rPr>
        <w:t> </w:t>
      </w:r>
      <w:r>
        <w:rPr>
          <w:sz w:val="20"/>
        </w:rPr>
        <w:t>unless</w:t>
      </w:r>
      <w:r>
        <w:rPr>
          <w:spacing w:val="-6"/>
          <w:sz w:val="20"/>
        </w:rPr>
        <w:t> </w:t>
      </w:r>
      <w:r>
        <w:rPr>
          <w:sz w:val="20"/>
        </w:rPr>
        <w:t>it</w:t>
      </w:r>
      <w:r>
        <w:rPr>
          <w:spacing w:val="-7"/>
          <w:sz w:val="20"/>
        </w:rPr>
        <w:t> </w:t>
      </w:r>
      <w:r>
        <w:rPr>
          <w:sz w:val="20"/>
        </w:rPr>
        <w:t>has</w:t>
      </w:r>
      <w:r>
        <w:rPr>
          <w:spacing w:val="-3"/>
          <w:sz w:val="20"/>
        </w:rPr>
        <w:t> </w:t>
      </w:r>
      <w:r>
        <w:rPr>
          <w:sz w:val="20"/>
        </w:rPr>
        <w:t>given</w:t>
      </w:r>
      <w:r>
        <w:rPr>
          <w:spacing w:val="-8"/>
          <w:sz w:val="20"/>
        </w:rPr>
        <w:t> </w:t>
      </w:r>
      <w:r>
        <w:rPr>
          <w:sz w:val="20"/>
        </w:rPr>
        <w:t>a</w:t>
      </w:r>
      <w:r>
        <w:rPr>
          <w:spacing w:val="-5"/>
          <w:sz w:val="20"/>
        </w:rPr>
        <w:t> </w:t>
      </w:r>
      <w:r>
        <w:rPr>
          <w:sz w:val="20"/>
        </w:rPr>
        <w:t>notice</w:t>
      </w:r>
      <w:r>
        <w:rPr>
          <w:spacing w:val="-9"/>
          <w:sz w:val="20"/>
        </w:rPr>
        <w:t> </w:t>
      </w:r>
      <w:r>
        <w:rPr>
          <w:sz w:val="20"/>
        </w:rPr>
        <w:t>in writing of not less than thirty days to the Beneficial Owner regarding the same.</w:t>
      </w:r>
    </w:p>
    <w:p>
      <w:pPr>
        <w:pStyle w:val="Heading1"/>
        <w:spacing w:before="206"/>
      </w:pPr>
      <w:r>
        <w:rPr>
          <w:spacing w:val="-2"/>
        </w:rPr>
        <w:t>Dematerialization</w:t>
      </w:r>
    </w:p>
    <w:p>
      <w:pPr>
        <w:pStyle w:val="ListParagraph"/>
        <w:numPr>
          <w:ilvl w:val="0"/>
          <w:numId w:val="1"/>
        </w:numPr>
        <w:tabs>
          <w:tab w:pos="882" w:val="left" w:leader="none"/>
          <w:tab w:pos="885" w:val="left" w:leader="none"/>
        </w:tabs>
        <w:spacing w:line="276" w:lineRule="auto" w:before="236" w:after="0"/>
        <w:ind w:left="885" w:right="153" w:hanging="361"/>
        <w:jc w:val="both"/>
        <w:rPr>
          <w:sz w:val="20"/>
        </w:rPr>
      </w:pPr>
      <w:r>
        <w:rPr>
          <w:sz w:val="20"/>
        </w:rPr>
        <w:t>The Beneficial Owner shall have the right to get the securities, which have been admitted on the Depositories, dematerialized in the form and manner laid down under the Bye Laws, Business Rules and Operating Instructions of the depositories.</w:t>
      </w:r>
    </w:p>
    <w:p>
      <w:pPr>
        <w:pStyle w:val="Heading1"/>
      </w:pPr>
      <w:r>
        <w:rPr>
          <w:spacing w:val="-2"/>
        </w:rPr>
        <w:t>Separate</w:t>
      </w:r>
      <w:r>
        <w:rPr>
          <w:spacing w:val="-3"/>
        </w:rPr>
        <w:t> </w:t>
      </w:r>
      <w:r>
        <w:rPr>
          <w:spacing w:val="-2"/>
        </w:rPr>
        <w:t>Accounts</w:t>
      </w:r>
    </w:p>
    <w:p>
      <w:pPr>
        <w:pStyle w:val="ListParagraph"/>
        <w:numPr>
          <w:ilvl w:val="0"/>
          <w:numId w:val="1"/>
        </w:numPr>
        <w:tabs>
          <w:tab w:pos="882" w:val="left" w:leader="none"/>
          <w:tab w:pos="885" w:val="left" w:leader="none"/>
        </w:tabs>
        <w:spacing w:line="276" w:lineRule="auto" w:before="236" w:after="0"/>
        <w:ind w:left="885" w:right="156" w:hanging="361"/>
        <w:jc w:val="both"/>
        <w:rPr>
          <w:sz w:val="20"/>
        </w:rPr>
      </w:pPr>
      <w:r>
        <w:rPr>
          <w:sz w:val="20"/>
        </w:rPr>
        <w:t>The</w:t>
      </w:r>
      <w:r>
        <w:rPr>
          <w:spacing w:val="-16"/>
          <w:sz w:val="20"/>
        </w:rPr>
        <w:t> </w:t>
      </w:r>
      <w:r>
        <w:rPr>
          <w:sz w:val="20"/>
        </w:rPr>
        <w:t>DP</w:t>
      </w:r>
      <w:r>
        <w:rPr>
          <w:spacing w:val="-16"/>
          <w:sz w:val="20"/>
        </w:rPr>
        <w:t> </w:t>
      </w:r>
      <w:r>
        <w:rPr>
          <w:sz w:val="20"/>
        </w:rPr>
        <w:t>shall</w:t>
      </w:r>
      <w:r>
        <w:rPr>
          <w:spacing w:val="-15"/>
          <w:sz w:val="20"/>
        </w:rPr>
        <w:t> </w:t>
      </w:r>
      <w:r>
        <w:rPr>
          <w:sz w:val="20"/>
        </w:rPr>
        <w:t>open</w:t>
      </w:r>
      <w:r>
        <w:rPr>
          <w:spacing w:val="-16"/>
          <w:sz w:val="20"/>
        </w:rPr>
        <w:t> </w:t>
      </w:r>
      <w:r>
        <w:rPr>
          <w:sz w:val="20"/>
        </w:rPr>
        <w:t>separate</w:t>
      </w:r>
      <w:r>
        <w:rPr>
          <w:spacing w:val="-16"/>
          <w:sz w:val="20"/>
        </w:rPr>
        <w:t> </w:t>
      </w:r>
      <w:r>
        <w:rPr>
          <w:sz w:val="20"/>
        </w:rPr>
        <w:t>accounts</w:t>
      </w:r>
      <w:r>
        <w:rPr>
          <w:spacing w:val="-15"/>
          <w:sz w:val="20"/>
        </w:rPr>
        <w:t> </w:t>
      </w:r>
      <w:r>
        <w:rPr>
          <w:sz w:val="20"/>
        </w:rPr>
        <w:t>in</w:t>
      </w:r>
      <w:r>
        <w:rPr>
          <w:spacing w:val="-16"/>
          <w:sz w:val="20"/>
        </w:rPr>
        <w:t> </w:t>
      </w:r>
      <w:r>
        <w:rPr>
          <w:sz w:val="20"/>
        </w:rPr>
        <w:t>the</w:t>
      </w:r>
      <w:r>
        <w:rPr>
          <w:spacing w:val="-15"/>
          <w:sz w:val="20"/>
        </w:rPr>
        <w:t> </w:t>
      </w:r>
      <w:r>
        <w:rPr>
          <w:sz w:val="20"/>
        </w:rPr>
        <w:t>name</w:t>
      </w:r>
      <w:r>
        <w:rPr>
          <w:spacing w:val="-16"/>
          <w:sz w:val="20"/>
        </w:rPr>
        <w:t> </w:t>
      </w:r>
      <w:r>
        <w:rPr>
          <w:sz w:val="20"/>
        </w:rPr>
        <w:t>of</w:t>
      </w:r>
      <w:r>
        <w:rPr>
          <w:spacing w:val="-16"/>
          <w:sz w:val="20"/>
        </w:rPr>
        <w:t> </w:t>
      </w:r>
      <w:r>
        <w:rPr>
          <w:sz w:val="20"/>
        </w:rPr>
        <w:t>each</w:t>
      </w:r>
      <w:r>
        <w:rPr>
          <w:spacing w:val="-15"/>
          <w:sz w:val="20"/>
        </w:rPr>
        <w:t> </w:t>
      </w:r>
      <w:r>
        <w:rPr>
          <w:sz w:val="20"/>
        </w:rPr>
        <w:t>of</w:t>
      </w:r>
      <w:r>
        <w:rPr>
          <w:spacing w:val="-16"/>
          <w:sz w:val="20"/>
        </w:rPr>
        <w:t> </w:t>
      </w:r>
      <w:r>
        <w:rPr>
          <w:sz w:val="20"/>
        </w:rPr>
        <w:t>the</w:t>
      </w:r>
      <w:r>
        <w:rPr>
          <w:spacing w:val="-16"/>
          <w:sz w:val="20"/>
        </w:rPr>
        <w:t> </w:t>
      </w:r>
      <w:r>
        <w:rPr>
          <w:sz w:val="20"/>
        </w:rPr>
        <w:t>beneficial</w:t>
      </w:r>
      <w:r>
        <w:rPr>
          <w:spacing w:val="-15"/>
          <w:sz w:val="20"/>
        </w:rPr>
        <w:t> </w:t>
      </w:r>
      <w:r>
        <w:rPr>
          <w:sz w:val="20"/>
        </w:rPr>
        <w:t>owners</w:t>
      </w:r>
      <w:r>
        <w:rPr>
          <w:spacing w:val="-16"/>
          <w:sz w:val="20"/>
        </w:rPr>
        <w:t> </w:t>
      </w:r>
      <w:r>
        <w:rPr>
          <w:sz w:val="20"/>
        </w:rPr>
        <w:t>and</w:t>
      </w:r>
      <w:r>
        <w:rPr>
          <w:spacing w:val="-15"/>
          <w:sz w:val="20"/>
        </w:rPr>
        <w:t> </w:t>
      </w:r>
      <w:r>
        <w:rPr>
          <w:sz w:val="20"/>
        </w:rPr>
        <w:t>securities of each beneficial owner shall be segregated and shall not be mixed up with the securities of other beneficial owners and/or DP’s own securities held in dematerialized form.</w:t>
      </w:r>
    </w:p>
    <w:p>
      <w:pPr>
        <w:pStyle w:val="BodyText"/>
      </w:pPr>
    </w:p>
    <w:p>
      <w:pPr>
        <w:pStyle w:val="BodyText"/>
        <w:spacing w:before="22"/>
      </w:pPr>
      <w:r>
        <w:rPr/>
        <mc:AlternateContent>
          <mc:Choice Requires="wps">
            <w:drawing>
              <wp:anchor distT="0" distB="0" distL="0" distR="0" allowOverlap="1" layoutInCell="1" locked="0" behindDoc="1" simplePos="0" relativeHeight="487587840">
                <wp:simplePos x="0" y="0"/>
                <wp:positionH relativeFrom="page">
                  <wp:posOffset>896112</wp:posOffset>
                </wp:positionH>
                <wp:positionV relativeFrom="paragraph">
                  <wp:posOffset>182502</wp:posOffset>
                </wp:positionV>
                <wp:extent cx="5770245"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770245" cy="6350"/>
                        </a:xfrm>
                        <a:custGeom>
                          <a:avLst/>
                          <a:gdLst/>
                          <a:ahLst/>
                          <a:cxnLst/>
                          <a:rect l="l" t="t" r="r" b="b"/>
                          <a:pathLst>
                            <a:path w="5770245" h="6350">
                              <a:moveTo>
                                <a:pt x="5769864" y="6094"/>
                              </a:moveTo>
                              <a:lnTo>
                                <a:pt x="0" y="6094"/>
                              </a:lnTo>
                              <a:lnTo>
                                <a:pt x="0" y="0"/>
                              </a:lnTo>
                              <a:lnTo>
                                <a:pt x="5769864" y="0"/>
                              </a:lnTo>
                              <a:lnTo>
                                <a:pt x="5769864" y="609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14.370313pt;width:454.320019pt;height:.479919pt;mso-position-horizontal-relative:page;mso-position-vertical-relative:paragraph;z-index:-15728640;mso-wrap-distance-left:0;mso-wrap-distance-right:0" id="docshape5" filled="true" fillcolor="#000000" stroked="false">
                <v:fill type="solid"/>
                <w10:wrap type="topAndBottom"/>
              </v:rect>
            </w:pict>
          </mc:Fallback>
        </mc:AlternateContent>
      </w:r>
    </w:p>
    <w:p>
      <w:pPr>
        <w:pStyle w:val="BodyText"/>
        <w:spacing w:after="0"/>
        <w:sectPr>
          <w:headerReference w:type="default" r:id="rId5"/>
          <w:footerReference w:type="default" r:id="rId6"/>
          <w:type w:val="continuous"/>
          <w:pgSz w:w="11910" w:h="16840"/>
          <w:pgMar w:header="717" w:footer="1029" w:top="1020" w:bottom="1220" w:left="1275" w:right="1275"/>
          <w:pgNumType w:start="1"/>
        </w:sectPr>
      </w:pPr>
    </w:p>
    <w:p>
      <w:pPr>
        <w:pStyle w:val="BodyText"/>
        <w:spacing w:before="176"/>
      </w:pPr>
    </w:p>
    <w:p>
      <w:pPr>
        <w:pStyle w:val="ListParagraph"/>
        <w:numPr>
          <w:ilvl w:val="0"/>
          <w:numId w:val="1"/>
        </w:numPr>
        <w:tabs>
          <w:tab w:pos="881" w:val="left" w:leader="none"/>
          <w:tab w:pos="885" w:val="left" w:leader="none"/>
        </w:tabs>
        <w:spacing w:line="276" w:lineRule="auto" w:before="0" w:after="0"/>
        <w:ind w:left="885" w:right="152" w:hanging="361"/>
        <w:jc w:val="both"/>
        <w:rPr>
          <w:sz w:val="20"/>
        </w:rPr>
      </w:pPr>
      <w:r>
        <w:rPr>
          <w:sz w:val="20"/>
        </w:rPr>
        <w:t>The DP shall not facilitate the Beneficial Owner to create or permit any pledge and /or hypothecation</w:t>
      </w:r>
      <w:r>
        <w:rPr>
          <w:spacing w:val="-14"/>
          <w:sz w:val="20"/>
        </w:rPr>
        <w:t> </w:t>
      </w:r>
      <w:r>
        <w:rPr>
          <w:sz w:val="20"/>
        </w:rPr>
        <w:t>or</w:t>
      </w:r>
      <w:r>
        <w:rPr>
          <w:spacing w:val="-16"/>
          <w:sz w:val="20"/>
        </w:rPr>
        <w:t> </w:t>
      </w:r>
      <w:r>
        <w:rPr>
          <w:sz w:val="20"/>
        </w:rPr>
        <w:t>any</w:t>
      </w:r>
      <w:r>
        <w:rPr>
          <w:spacing w:val="-14"/>
          <w:sz w:val="20"/>
        </w:rPr>
        <w:t> </w:t>
      </w:r>
      <w:r>
        <w:rPr>
          <w:sz w:val="20"/>
        </w:rPr>
        <w:t>other</w:t>
      </w:r>
      <w:r>
        <w:rPr>
          <w:spacing w:val="-8"/>
          <w:sz w:val="20"/>
        </w:rPr>
        <w:t> </w:t>
      </w:r>
      <w:r>
        <w:rPr>
          <w:sz w:val="20"/>
        </w:rPr>
        <w:t>interest</w:t>
      </w:r>
      <w:r>
        <w:rPr>
          <w:spacing w:val="-13"/>
          <w:sz w:val="20"/>
        </w:rPr>
        <w:t> </w:t>
      </w:r>
      <w:r>
        <w:rPr>
          <w:sz w:val="20"/>
        </w:rPr>
        <w:t>or</w:t>
      </w:r>
      <w:r>
        <w:rPr>
          <w:spacing w:val="-16"/>
          <w:sz w:val="20"/>
        </w:rPr>
        <w:t> </w:t>
      </w:r>
      <w:r>
        <w:rPr>
          <w:sz w:val="20"/>
        </w:rPr>
        <w:t>encumbrance</w:t>
      </w:r>
      <w:r>
        <w:rPr>
          <w:spacing w:val="-12"/>
          <w:sz w:val="20"/>
        </w:rPr>
        <w:t> </w:t>
      </w:r>
      <w:r>
        <w:rPr>
          <w:sz w:val="20"/>
        </w:rPr>
        <w:t>over</w:t>
      </w:r>
      <w:r>
        <w:rPr>
          <w:spacing w:val="-14"/>
          <w:sz w:val="20"/>
        </w:rPr>
        <w:t> </w:t>
      </w:r>
      <w:r>
        <w:rPr>
          <w:sz w:val="20"/>
        </w:rPr>
        <w:t>all</w:t>
      </w:r>
      <w:r>
        <w:rPr>
          <w:spacing w:val="-14"/>
          <w:sz w:val="20"/>
        </w:rPr>
        <w:t> </w:t>
      </w:r>
      <w:r>
        <w:rPr>
          <w:sz w:val="20"/>
        </w:rPr>
        <w:t>or</w:t>
      </w:r>
      <w:r>
        <w:rPr>
          <w:spacing w:val="-16"/>
          <w:sz w:val="20"/>
        </w:rPr>
        <w:t> </w:t>
      </w:r>
      <w:r>
        <w:rPr>
          <w:sz w:val="20"/>
        </w:rPr>
        <w:t>any</w:t>
      </w:r>
      <w:r>
        <w:rPr>
          <w:spacing w:val="-14"/>
          <w:sz w:val="20"/>
        </w:rPr>
        <w:t> </w:t>
      </w:r>
      <w:r>
        <w:rPr>
          <w:sz w:val="20"/>
        </w:rPr>
        <w:t>of</w:t>
      </w:r>
      <w:r>
        <w:rPr>
          <w:spacing w:val="-14"/>
          <w:sz w:val="20"/>
        </w:rPr>
        <w:t> </w:t>
      </w:r>
      <w:r>
        <w:rPr>
          <w:sz w:val="20"/>
        </w:rPr>
        <w:t>such</w:t>
      </w:r>
      <w:r>
        <w:rPr>
          <w:spacing w:val="-14"/>
          <w:sz w:val="20"/>
        </w:rPr>
        <w:t> </w:t>
      </w:r>
      <w:r>
        <w:rPr>
          <w:sz w:val="20"/>
        </w:rPr>
        <w:t>securities</w:t>
      </w:r>
      <w:r>
        <w:rPr>
          <w:spacing w:val="-8"/>
          <w:sz w:val="20"/>
        </w:rPr>
        <w:t> </w:t>
      </w:r>
      <w:r>
        <w:rPr>
          <w:sz w:val="20"/>
        </w:rPr>
        <w:t>submitted for</w:t>
      </w:r>
      <w:r>
        <w:rPr>
          <w:spacing w:val="-1"/>
          <w:sz w:val="20"/>
        </w:rPr>
        <w:t> </w:t>
      </w:r>
      <w:r>
        <w:rPr>
          <w:sz w:val="20"/>
        </w:rPr>
        <w:t>dematerialization</w:t>
      </w:r>
      <w:r>
        <w:rPr>
          <w:spacing w:val="-2"/>
          <w:sz w:val="20"/>
        </w:rPr>
        <w:t> </w:t>
      </w:r>
      <w:r>
        <w:rPr>
          <w:sz w:val="20"/>
        </w:rPr>
        <w:t>and/or held in</w:t>
      </w:r>
      <w:r>
        <w:rPr>
          <w:spacing w:val="-1"/>
          <w:sz w:val="20"/>
        </w:rPr>
        <w:t> </w:t>
      </w:r>
      <w:r>
        <w:rPr>
          <w:sz w:val="20"/>
        </w:rPr>
        <w:t>demat account except in the form and manner prescribed in</w:t>
      </w:r>
      <w:r>
        <w:rPr>
          <w:spacing w:val="-12"/>
          <w:sz w:val="20"/>
        </w:rPr>
        <w:t> </w:t>
      </w:r>
      <w:r>
        <w:rPr>
          <w:sz w:val="20"/>
        </w:rPr>
        <w:t>the</w:t>
      </w:r>
      <w:r>
        <w:rPr>
          <w:spacing w:val="-6"/>
          <w:sz w:val="20"/>
        </w:rPr>
        <w:t> </w:t>
      </w:r>
      <w:r>
        <w:rPr>
          <w:sz w:val="20"/>
        </w:rPr>
        <w:t>Depositories</w:t>
      </w:r>
      <w:r>
        <w:rPr>
          <w:spacing w:val="-8"/>
          <w:sz w:val="20"/>
        </w:rPr>
        <w:t> </w:t>
      </w:r>
      <w:r>
        <w:rPr>
          <w:sz w:val="20"/>
        </w:rPr>
        <w:t>Act,</w:t>
      </w:r>
      <w:r>
        <w:rPr>
          <w:spacing w:val="-5"/>
          <w:sz w:val="20"/>
        </w:rPr>
        <w:t> </w:t>
      </w:r>
      <w:r>
        <w:rPr>
          <w:sz w:val="20"/>
        </w:rPr>
        <w:t>1996,</w:t>
      </w:r>
      <w:r>
        <w:rPr>
          <w:spacing w:val="-7"/>
          <w:sz w:val="20"/>
        </w:rPr>
        <w:t> </w:t>
      </w:r>
      <w:r>
        <w:rPr>
          <w:sz w:val="20"/>
        </w:rPr>
        <w:t>SEBI</w:t>
      </w:r>
      <w:r>
        <w:rPr>
          <w:spacing w:val="-8"/>
          <w:sz w:val="20"/>
        </w:rPr>
        <w:t> </w:t>
      </w:r>
      <w:r>
        <w:rPr>
          <w:sz w:val="20"/>
        </w:rPr>
        <w:t>(Depositories</w:t>
      </w:r>
      <w:r>
        <w:rPr>
          <w:spacing w:val="-5"/>
          <w:sz w:val="20"/>
        </w:rPr>
        <w:t> </w:t>
      </w:r>
      <w:r>
        <w:rPr>
          <w:sz w:val="20"/>
        </w:rPr>
        <w:t>and</w:t>
      </w:r>
      <w:r>
        <w:rPr>
          <w:spacing w:val="-8"/>
          <w:sz w:val="20"/>
        </w:rPr>
        <w:t> </w:t>
      </w:r>
      <w:r>
        <w:rPr>
          <w:sz w:val="20"/>
        </w:rPr>
        <w:t>Participants) Regulations,</w:t>
      </w:r>
      <w:r>
        <w:rPr>
          <w:spacing w:val="-4"/>
          <w:sz w:val="20"/>
        </w:rPr>
        <w:t> </w:t>
      </w:r>
      <w:r>
        <w:rPr>
          <w:sz w:val="20"/>
        </w:rPr>
        <w:t>2018</w:t>
      </w:r>
      <w:r>
        <w:rPr>
          <w:spacing w:val="-8"/>
          <w:sz w:val="20"/>
        </w:rPr>
        <w:t> </w:t>
      </w:r>
      <w:r>
        <w:rPr>
          <w:sz w:val="20"/>
        </w:rPr>
        <w:t>and</w:t>
      </w:r>
      <w:r>
        <w:rPr>
          <w:spacing w:val="-8"/>
          <w:sz w:val="20"/>
        </w:rPr>
        <w:t> </w:t>
      </w:r>
      <w:r>
        <w:rPr>
          <w:sz w:val="20"/>
        </w:rPr>
        <w:t>Bye-Laws/Operating Instructions/Business Rules of the Depositories.</w:t>
      </w:r>
    </w:p>
    <w:p>
      <w:pPr>
        <w:pStyle w:val="Heading1"/>
        <w:spacing w:before="201"/>
      </w:pPr>
      <w:r>
        <w:rPr/>
        <w:t>Transfer</w:t>
      </w:r>
      <w:r>
        <w:rPr>
          <w:spacing w:val="-13"/>
        </w:rPr>
        <w:t> </w:t>
      </w:r>
      <w:r>
        <w:rPr/>
        <w:t>of</w:t>
      </w:r>
      <w:r>
        <w:rPr>
          <w:spacing w:val="-12"/>
        </w:rPr>
        <w:t> </w:t>
      </w:r>
      <w:r>
        <w:rPr>
          <w:spacing w:val="-2"/>
        </w:rPr>
        <w:t>Securities</w:t>
      </w:r>
    </w:p>
    <w:p>
      <w:pPr>
        <w:pStyle w:val="ListParagraph"/>
        <w:numPr>
          <w:ilvl w:val="0"/>
          <w:numId w:val="1"/>
        </w:numPr>
        <w:tabs>
          <w:tab w:pos="881" w:val="left" w:leader="none"/>
          <w:tab w:pos="885" w:val="left" w:leader="none"/>
        </w:tabs>
        <w:spacing w:line="276" w:lineRule="auto" w:before="236" w:after="0"/>
        <w:ind w:left="885" w:right="156" w:hanging="361"/>
        <w:jc w:val="both"/>
        <w:rPr>
          <w:sz w:val="20"/>
        </w:rPr>
      </w:pPr>
      <w:r>
        <w:rPr>
          <w:sz w:val="20"/>
        </w:rPr>
        <w:t>The DP shall effect transfer to and from the demat accounts of the Beneficial Owner only on the</w:t>
      </w:r>
      <w:r>
        <w:rPr>
          <w:spacing w:val="-10"/>
          <w:sz w:val="20"/>
        </w:rPr>
        <w:t> </w:t>
      </w:r>
      <w:r>
        <w:rPr>
          <w:sz w:val="20"/>
        </w:rPr>
        <w:t>basis</w:t>
      </w:r>
      <w:r>
        <w:rPr>
          <w:spacing w:val="-9"/>
          <w:sz w:val="20"/>
        </w:rPr>
        <w:t> </w:t>
      </w:r>
      <w:r>
        <w:rPr>
          <w:sz w:val="20"/>
        </w:rPr>
        <w:t>of</w:t>
      </w:r>
      <w:r>
        <w:rPr>
          <w:spacing w:val="-12"/>
          <w:sz w:val="20"/>
        </w:rPr>
        <w:t> </w:t>
      </w:r>
      <w:r>
        <w:rPr>
          <w:sz w:val="20"/>
        </w:rPr>
        <w:t>an</w:t>
      </w:r>
      <w:r>
        <w:rPr>
          <w:spacing w:val="-14"/>
          <w:sz w:val="20"/>
        </w:rPr>
        <w:t> </w:t>
      </w:r>
      <w:r>
        <w:rPr>
          <w:sz w:val="20"/>
        </w:rPr>
        <w:t>order,</w:t>
      </w:r>
      <w:r>
        <w:rPr>
          <w:spacing w:val="-11"/>
          <w:sz w:val="20"/>
        </w:rPr>
        <w:t> </w:t>
      </w:r>
      <w:r>
        <w:rPr>
          <w:sz w:val="20"/>
        </w:rPr>
        <w:t>instruction,</w:t>
      </w:r>
      <w:r>
        <w:rPr>
          <w:spacing w:val="-11"/>
          <w:sz w:val="20"/>
        </w:rPr>
        <w:t> </w:t>
      </w:r>
      <w:r>
        <w:rPr>
          <w:sz w:val="20"/>
        </w:rPr>
        <w:t>direction</w:t>
      </w:r>
      <w:r>
        <w:rPr>
          <w:spacing w:val="-12"/>
          <w:sz w:val="20"/>
        </w:rPr>
        <w:t> </w:t>
      </w:r>
      <w:r>
        <w:rPr>
          <w:sz w:val="20"/>
        </w:rPr>
        <w:t>or</w:t>
      </w:r>
      <w:r>
        <w:rPr>
          <w:spacing w:val="-10"/>
          <w:sz w:val="20"/>
        </w:rPr>
        <w:t> </w:t>
      </w:r>
      <w:r>
        <w:rPr>
          <w:sz w:val="20"/>
        </w:rPr>
        <w:t>mandate</w:t>
      </w:r>
      <w:r>
        <w:rPr>
          <w:spacing w:val="-8"/>
          <w:sz w:val="20"/>
        </w:rPr>
        <w:t> </w:t>
      </w:r>
      <w:r>
        <w:rPr>
          <w:sz w:val="20"/>
        </w:rPr>
        <w:t>duly</w:t>
      </w:r>
      <w:r>
        <w:rPr>
          <w:spacing w:val="-14"/>
          <w:sz w:val="20"/>
        </w:rPr>
        <w:t> </w:t>
      </w:r>
      <w:r>
        <w:rPr>
          <w:sz w:val="20"/>
        </w:rPr>
        <w:t>authorized</w:t>
      </w:r>
      <w:r>
        <w:rPr>
          <w:spacing w:val="-9"/>
          <w:sz w:val="20"/>
        </w:rPr>
        <w:t> </w:t>
      </w:r>
      <w:r>
        <w:rPr>
          <w:sz w:val="20"/>
        </w:rPr>
        <w:t>by</w:t>
      </w:r>
      <w:r>
        <w:rPr>
          <w:spacing w:val="-14"/>
          <w:sz w:val="20"/>
        </w:rPr>
        <w:t> </w:t>
      </w:r>
      <w:r>
        <w:rPr>
          <w:sz w:val="20"/>
        </w:rPr>
        <w:t>the Beneficial</w:t>
      </w:r>
      <w:r>
        <w:rPr>
          <w:spacing w:val="-10"/>
          <w:sz w:val="20"/>
        </w:rPr>
        <w:t> </w:t>
      </w:r>
      <w:r>
        <w:rPr>
          <w:sz w:val="20"/>
        </w:rPr>
        <w:t>Owner and the DP shall maintain the original documents and the audit trail of such authorizations.</w:t>
      </w:r>
    </w:p>
    <w:p>
      <w:pPr>
        <w:pStyle w:val="BodyText"/>
        <w:spacing w:before="37"/>
      </w:pPr>
    </w:p>
    <w:p>
      <w:pPr>
        <w:pStyle w:val="ListParagraph"/>
        <w:numPr>
          <w:ilvl w:val="0"/>
          <w:numId w:val="1"/>
        </w:numPr>
        <w:tabs>
          <w:tab w:pos="881" w:val="left" w:leader="none"/>
          <w:tab w:pos="885" w:val="left" w:leader="none"/>
        </w:tabs>
        <w:spacing w:line="273" w:lineRule="auto" w:before="0" w:after="0"/>
        <w:ind w:left="885" w:right="157" w:hanging="361"/>
        <w:jc w:val="both"/>
        <w:rPr>
          <w:sz w:val="20"/>
        </w:rPr>
      </w:pPr>
      <w:r>
        <w:rPr>
          <w:sz w:val="20"/>
        </w:rPr>
        <w:t>The</w:t>
      </w:r>
      <w:r>
        <w:rPr>
          <w:spacing w:val="-16"/>
          <w:sz w:val="20"/>
        </w:rPr>
        <w:t> </w:t>
      </w:r>
      <w:r>
        <w:rPr>
          <w:sz w:val="20"/>
        </w:rPr>
        <w:t>Beneficial</w:t>
      </w:r>
      <w:r>
        <w:rPr>
          <w:spacing w:val="-16"/>
          <w:sz w:val="20"/>
        </w:rPr>
        <w:t> </w:t>
      </w:r>
      <w:r>
        <w:rPr>
          <w:sz w:val="20"/>
        </w:rPr>
        <w:t>Owner</w:t>
      </w:r>
      <w:r>
        <w:rPr>
          <w:spacing w:val="-15"/>
          <w:sz w:val="20"/>
        </w:rPr>
        <w:t> </w:t>
      </w:r>
      <w:r>
        <w:rPr>
          <w:sz w:val="20"/>
        </w:rPr>
        <w:t>reserves</w:t>
      </w:r>
      <w:r>
        <w:rPr>
          <w:spacing w:val="-16"/>
          <w:sz w:val="20"/>
        </w:rPr>
        <w:t> </w:t>
      </w:r>
      <w:r>
        <w:rPr>
          <w:sz w:val="20"/>
        </w:rPr>
        <w:t>the</w:t>
      </w:r>
      <w:r>
        <w:rPr>
          <w:spacing w:val="-16"/>
          <w:sz w:val="20"/>
        </w:rPr>
        <w:t> </w:t>
      </w:r>
      <w:r>
        <w:rPr>
          <w:sz w:val="20"/>
        </w:rPr>
        <w:t>right</w:t>
      </w:r>
      <w:r>
        <w:rPr>
          <w:spacing w:val="-15"/>
          <w:sz w:val="20"/>
        </w:rPr>
        <w:t> </w:t>
      </w:r>
      <w:r>
        <w:rPr>
          <w:sz w:val="20"/>
        </w:rPr>
        <w:t>to</w:t>
      </w:r>
      <w:r>
        <w:rPr>
          <w:spacing w:val="-16"/>
          <w:sz w:val="20"/>
        </w:rPr>
        <w:t> </w:t>
      </w:r>
      <w:r>
        <w:rPr>
          <w:sz w:val="20"/>
        </w:rPr>
        <w:t>give</w:t>
      </w:r>
      <w:r>
        <w:rPr>
          <w:spacing w:val="-15"/>
          <w:sz w:val="20"/>
        </w:rPr>
        <w:t> </w:t>
      </w:r>
      <w:r>
        <w:rPr>
          <w:sz w:val="20"/>
        </w:rPr>
        <w:t>standing</w:t>
      </w:r>
      <w:r>
        <w:rPr>
          <w:spacing w:val="-16"/>
          <w:sz w:val="20"/>
        </w:rPr>
        <w:t> </w:t>
      </w:r>
      <w:r>
        <w:rPr>
          <w:sz w:val="20"/>
        </w:rPr>
        <w:t>instructions</w:t>
      </w:r>
      <w:r>
        <w:rPr>
          <w:spacing w:val="-16"/>
          <w:sz w:val="20"/>
        </w:rPr>
        <w:t> </w:t>
      </w:r>
      <w:r>
        <w:rPr>
          <w:sz w:val="20"/>
        </w:rPr>
        <w:t>with</w:t>
      </w:r>
      <w:r>
        <w:rPr>
          <w:spacing w:val="-15"/>
          <w:sz w:val="20"/>
        </w:rPr>
        <w:t> </w:t>
      </w:r>
      <w:r>
        <w:rPr>
          <w:sz w:val="20"/>
        </w:rPr>
        <w:t>regard</w:t>
      </w:r>
      <w:r>
        <w:rPr>
          <w:spacing w:val="-16"/>
          <w:sz w:val="20"/>
        </w:rPr>
        <w:t> </w:t>
      </w:r>
      <w:r>
        <w:rPr>
          <w:sz w:val="20"/>
        </w:rPr>
        <w:t>to</w:t>
      </w:r>
      <w:r>
        <w:rPr>
          <w:spacing w:val="-16"/>
          <w:sz w:val="20"/>
        </w:rPr>
        <w:t> </w:t>
      </w:r>
      <w:r>
        <w:rPr>
          <w:sz w:val="20"/>
        </w:rPr>
        <w:t>the</w:t>
      </w:r>
      <w:r>
        <w:rPr>
          <w:spacing w:val="-15"/>
          <w:sz w:val="20"/>
        </w:rPr>
        <w:t> </w:t>
      </w:r>
      <w:r>
        <w:rPr>
          <w:sz w:val="20"/>
        </w:rPr>
        <w:t>crediting of securities in his demat account and the DP shall act according to such instructions.</w:t>
      </w:r>
    </w:p>
    <w:p>
      <w:pPr>
        <w:pStyle w:val="BodyText"/>
        <w:spacing w:before="41"/>
      </w:pPr>
    </w:p>
    <w:p>
      <w:pPr>
        <w:pStyle w:val="ListParagraph"/>
        <w:numPr>
          <w:ilvl w:val="0"/>
          <w:numId w:val="1"/>
        </w:numPr>
        <w:tabs>
          <w:tab w:pos="881" w:val="left" w:leader="none"/>
          <w:tab w:pos="885" w:val="left" w:leader="none"/>
        </w:tabs>
        <w:spacing w:line="276" w:lineRule="auto" w:before="0" w:after="0"/>
        <w:ind w:left="885" w:right="165" w:hanging="361"/>
        <w:jc w:val="both"/>
        <w:rPr>
          <w:sz w:val="20"/>
        </w:rPr>
      </w:pPr>
      <w:r>
        <w:rPr>
          <w:sz w:val="20"/>
        </w:rPr>
        <w:t>The</w:t>
      </w:r>
      <w:r>
        <w:rPr>
          <w:spacing w:val="-5"/>
          <w:sz w:val="20"/>
        </w:rPr>
        <w:t> </w:t>
      </w:r>
      <w:r>
        <w:rPr>
          <w:sz w:val="20"/>
        </w:rPr>
        <w:t>stock</w:t>
      </w:r>
      <w:r>
        <w:rPr>
          <w:spacing w:val="-3"/>
          <w:sz w:val="20"/>
        </w:rPr>
        <w:t> </w:t>
      </w:r>
      <w:r>
        <w:rPr>
          <w:sz w:val="20"/>
        </w:rPr>
        <w:t>broker</w:t>
      </w:r>
      <w:r>
        <w:rPr>
          <w:spacing w:val="-3"/>
          <w:sz w:val="20"/>
        </w:rPr>
        <w:t> </w:t>
      </w:r>
      <w:r>
        <w:rPr>
          <w:sz w:val="20"/>
        </w:rPr>
        <w:t>/</w:t>
      </w:r>
      <w:r>
        <w:rPr>
          <w:spacing w:val="-5"/>
          <w:sz w:val="20"/>
        </w:rPr>
        <w:t> </w:t>
      </w:r>
      <w:r>
        <w:rPr>
          <w:sz w:val="20"/>
        </w:rPr>
        <w:t>stock</w:t>
      </w:r>
      <w:r>
        <w:rPr>
          <w:spacing w:val="-7"/>
          <w:sz w:val="20"/>
        </w:rPr>
        <w:t> </w:t>
      </w:r>
      <w:r>
        <w:rPr>
          <w:sz w:val="20"/>
        </w:rPr>
        <w:t>broker</w:t>
      </w:r>
      <w:r>
        <w:rPr>
          <w:spacing w:val="-5"/>
          <w:sz w:val="20"/>
        </w:rPr>
        <w:t> </w:t>
      </w:r>
      <w:r>
        <w:rPr>
          <w:sz w:val="20"/>
        </w:rPr>
        <w:t>and</w:t>
      </w:r>
      <w:r>
        <w:rPr>
          <w:spacing w:val="-4"/>
          <w:sz w:val="20"/>
        </w:rPr>
        <w:t> </w:t>
      </w:r>
      <w:r>
        <w:rPr>
          <w:sz w:val="20"/>
        </w:rPr>
        <w:t>depository</w:t>
      </w:r>
      <w:r>
        <w:rPr>
          <w:spacing w:val="-3"/>
          <w:sz w:val="20"/>
        </w:rPr>
        <w:t> </w:t>
      </w:r>
      <w:r>
        <w:rPr>
          <w:sz w:val="20"/>
        </w:rPr>
        <w:t>participant</w:t>
      </w:r>
      <w:r>
        <w:rPr>
          <w:spacing w:val="-6"/>
          <w:sz w:val="20"/>
        </w:rPr>
        <w:t> </w:t>
      </w:r>
      <w:r>
        <w:rPr>
          <w:sz w:val="20"/>
        </w:rPr>
        <w:t>shall</w:t>
      </w:r>
      <w:r>
        <w:rPr>
          <w:spacing w:val="-3"/>
          <w:sz w:val="20"/>
        </w:rPr>
        <w:t> </w:t>
      </w:r>
      <w:r>
        <w:rPr>
          <w:sz w:val="20"/>
        </w:rPr>
        <w:t>not</w:t>
      </w:r>
      <w:r>
        <w:rPr>
          <w:spacing w:val="-4"/>
          <w:sz w:val="20"/>
        </w:rPr>
        <w:t> </w:t>
      </w:r>
      <w:r>
        <w:rPr>
          <w:sz w:val="20"/>
        </w:rPr>
        <w:t>directly</w:t>
      </w:r>
      <w:r>
        <w:rPr>
          <w:spacing w:val="-5"/>
          <w:sz w:val="20"/>
        </w:rPr>
        <w:t> </w:t>
      </w:r>
      <w:r>
        <w:rPr>
          <w:sz w:val="20"/>
        </w:rPr>
        <w:t>/</w:t>
      </w:r>
      <w:r>
        <w:rPr>
          <w:spacing w:val="-5"/>
          <w:sz w:val="20"/>
        </w:rPr>
        <w:t> </w:t>
      </w:r>
      <w:r>
        <w:rPr>
          <w:sz w:val="20"/>
        </w:rPr>
        <w:t>indirectly</w:t>
      </w:r>
      <w:r>
        <w:rPr>
          <w:spacing w:val="-7"/>
          <w:sz w:val="20"/>
        </w:rPr>
        <w:t> </w:t>
      </w:r>
      <w:r>
        <w:rPr>
          <w:sz w:val="20"/>
        </w:rPr>
        <w:t>compel the clients to execute Power of Attorney (PoA) or Demat Debit and Pledge Instruction (DDPI) or deny services to the client if the client refuses to execute PoA or DDPI.</w:t>
      </w:r>
    </w:p>
    <w:p>
      <w:pPr>
        <w:pStyle w:val="Heading1"/>
      </w:pPr>
      <w:r>
        <w:rPr>
          <w:spacing w:val="-2"/>
        </w:rPr>
        <w:t>Statement</w:t>
      </w:r>
      <w:r>
        <w:rPr>
          <w:spacing w:val="-6"/>
        </w:rPr>
        <w:t> </w:t>
      </w:r>
      <w:r>
        <w:rPr>
          <w:spacing w:val="-2"/>
        </w:rPr>
        <w:t>of</w:t>
      </w:r>
      <w:r>
        <w:rPr>
          <w:spacing w:val="-4"/>
        </w:rPr>
        <w:t> </w:t>
      </w:r>
      <w:r>
        <w:rPr>
          <w:spacing w:val="-2"/>
        </w:rPr>
        <w:t>account</w:t>
      </w:r>
    </w:p>
    <w:p>
      <w:pPr>
        <w:pStyle w:val="ListParagraph"/>
        <w:numPr>
          <w:ilvl w:val="0"/>
          <w:numId w:val="1"/>
        </w:numPr>
        <w:tabs>
          <w:tab w:pos="881" w:val="left" w:leader="none"/>
          <w:tab w:pos="885" w:val="left" w:leader="none"/>
        </w:tabs>
        <w:spacing w:line="276" w:lineRule="auto" w:before="236" w:after="0"/>
        <w:ind w:left="885" w:right="158" w:hanging="361"/>
        <w:jc w:val="both"/>
        <w:rPr>
          <w:sz w:val="20"/>
        </w:rPr>
      </w:pPr>
      <w:r>
        <w:rPr>
          <w:sz w:val="20"/>
        </w:rPr>
        <w:t>The</w:t>
      </w:r>
      <w:r>
        <w:rPr>
          <w:spacing w:val="40"/>
          <w:sz w:val="20"/>
        </w:rPr>
        <w:t> </w:t>
      </w:r>
      <w:r>
        <w:rPr>
          <w:sz w:val="20"/>
        </w:rPr>
        <w:t>DP</w:t>
      </w:r>
      <w:r>
        <w:rPr>
          <w:spacing w:val="-6"/>
          <w:sz w:val="20"/>
        </w:rPr>
        <w:t> </w:t>
      </w:r>
      <w:r>
        <w:rPr>
          <w:sz w:val="20"/>
        </w:rPr>
        <w:t>shall</w:t>
      </w:r>
      <w:r>
        <w:rPr>
          <w:spacing w:val="-6"/>
          <w:sz w:val="20"/>
        </w:rPr>
        <w:t> </w:t>
      </w:r>
      <w:r>
        <w:rPr>
          <w:sz w:val="20"/>
        </w:rPr>
        <w:t>provide</w:t>
      </w:r>
      <w:r>
        <w:rPr>
          <w:spacing w:val="-6"/>
          <w:sz w:val="20"/>
        </w:rPr>
        <w:t> </w:t>
      </w:r>
      <w:r>
        <w:rPr>
          <w:sz w:val="20"/>
        </w:rPr>
        <w:t>statements</w:t>
      </w:r>
      <w:r>
        <w:rPr>
          <w:spacing w:val="-6"/>
          <w:sz w:val="20"/>
        </w:rPr>
        <w:t> </w:t>
      </w:r>
      <w:r>
        <w:rPr>
          <w:sz w:val="20"/>
        </w:rPr>
        <w:t>of</w:t>
      </w:r>
      <w:r>
        <w:rPr>
          <w:spacing w:val="-8"/>
          <w:sz w:val="20"/>
        </w:rPr>
        <w:t> </w:t>
      </w:r>
      <w:r>
        <w:rPr>
          <w:sz w:val="20"/>
        </w:rPr>
        <w:t>accounts</w:t>
      </w:r>
      <w:r>
        <w:rPr>
          <w:spacing w:val="-6"/>
          <w:sz w:val="20"/>
        </w:rPr>
        <w:t> </w:t>
      </w:r>
      <w:r>
        <w:rPr>
          <w:sz w:val="20"/>
        </w:rPr>
        <w:t>to</w:t>
      </w:r>
      <w:r>
        <w:rPr>
          <w:spacing w:val="-8"/>
          <w:sz w:val="20"/>
        </w:rPr>
        <w:t> </w:t>
      </w:r>
      <w:r>
        <w:rPr>
          <w:sz w:val="20"/>
        </w:rPr>
        <w:t>the</w:t>
      </w:r>
      <w:r>
        <w:rPr>
          <w:spacing w:val="-4"/>
          <w:sz w:val="20"/>
        </w:rPr>
        <w:t> </w:t>
      </w:r>
      <w:r>
        <w:rPr>
          <w:sz w:val="20"/>
        </w:rPr>
        <w:t>beneficial</w:t>
      </w:r>
      <w:r>
        <w:rPr>
          <w:spacing w:val="-4"/>
          <w:sz w:val="20"/>
        </w:rPr>
        <w:t> </w:t>
      </w:r>
      <w:r>
        <w:rPr>
          <w:sz w:val="20"/>
        </w:rPr>
        <w:t>owner</w:t>
      </w:r>
      <w:r>
        <w:rPr>
          <w:spacing w:val="-6"/>
          <w:sz w:val="20"/>
        </w:rPr>
        <w:t> </w:t>
      </w:r>
      <w:r>
        <w:rPr>
          <w:sz w:val="20"/>
        </w:rPr>
        <w:t>in</w:t>
      </w:r>
      <w:r>
        <w:rPr>
          <w:spacing w:val="-6"/>
          <w:sz w:val="20"/>
        </w:rPr>
        <w:t> </w:t>
      </w:r>
      <w:r>
        <w:rPr>
          <w:sz w:val="20"/>
        </w:rPr>
        <w:t>such</w:t>
      </w:r>
      <w:r>
        <w:rPr>
          <w:spacing w:val="-6"/>
          <w:sz w:val="20"/>
        </w:rPr>
        <w:t> </w:t>
      </w:r>
      <w:r>
        <w:rPr>
          <w:sz w:val="20"/>
        </w:rPr>
        <w:t>form</w:t>
      </w:r>
      <w:r>
        <w:rPr>
          <w:spacing w:val="-6"/>
          <w:sz w:val="20"/>
        </w:rPr>
        <w:t> </w:t>
      </w:r>
      <w:r>
        <w:rPr>
          <w:sz w:val="20"/>
        </w:rPr>
        <w:t>and manner and at such time as agreed with the Beneficial Owner and as specified by SEBI/depository in this regard.</w:t>
      </w:r>
    </w:p>
    <w:p>
      <w:pPr>
        <w:pStyle w:val="BodyText"/>
        <w:spacing w:before="35"/>
      </w:pPr>
    </w:p>
    <w:p>
      <w:pPr>
        <w:pStyle w:val="ListParagraph"/>
        <w:numPr>
          <w:ilvl w:val="0"/>
          <w:numId w:val="1"/>
        </w:numPr>
        <w:tabs>
          <w:tab w:pos="881" w:val="left" w:leader="none"/>
          <w:tab w:pos="885" w:val="left" w:leader="none"/>
        </w:tabs>
        <w:spacing w:line="276" w:lineRule="auto" w:before="0" w:after="0"/>
        <w:ind w:left="885" w:right="155" w:hanging="361"/>
        <w:jc w:val="both"/>
        <w:rPr>
          <w:sz w:val="20"/>
        </w:rPr>
      </w:pPr>
      <w:r>
        <w:rPr>
          <w:sz w:val="20"/>
        </w:rPr>
        <w:t>However, if there is no transaction in the demat account, or if the balance has become Nil during</w:t>
      </w:r>
      <w:r>
        <w:rPr>
          <w:spacing w:val="-4"/>
          <w:sz w:val="20"/>
        </w:rPr>
        <w:t> </w:t>
      </w:r>
      <w:r>
        <w:rPr>
          <w:sz w:val="20"/>
        </w:rPr>
        <w:t>the year,</w:t>
      </w:r>
      <w:r>
        <w:rPr>
          <w:spacing w:val="-6"/>
          <w:sz w:val="20"/>
        </w:rPr>
        <w:t> </w:t>
      </w:r>
      <w:r>
        <w:rPr>
          <w:sz w:val="20"/>
        </w:rPr>
        <w:t>the</w:t>
      </w:r>
      <w:r>
        <w:rPr>
          <w:spacing w:val="-3"/>
          <w:sz w:val="20"/>
        </w:rPr>
        <w:t> </w:t>
      </w:r>
      <w:r>
        <w:rPr>
          <w:sz w:val="20"/>
        </w:rPr>
        <w:t>DP</w:t>
      </w:r>
      <w:r>
        <w:rPr>
          <w:spacing w:val="-5"/>
          <w:sz w:val="20"/>
        </w:rPr>
        <w:t> </w:t>
      </w:r>
      <w:r>
        <w:rPr>
          <w:sz w:val="20"/>
        </w:rPr>
        <w:t>shall</w:t>
      </w:r>
      <w:r>
        <w:rPr>
          <w:spacing w:val="-7"/>
          <w:sz w:val="20"/>
        </w:rPr>
        <w:t> </w:t>
      </w:r>
      <w:r>
        <w:rPr>
          <w:sz w:val="20"/>
        </w:rPr>
        <w:t>send</w:t>
      </w:r>
      <w:r>
        <w:rPr>
          <w:spacing w:val="-4"/>
          <w:sz w:val="20"/>
        </w:rPr>
        <w:t> </w:t>
      </w:r>
      <w:r>
        <w:rPr>
          <w:sz w:val="20"/>
        </w:rPr>
        <w:t>one</w:t>
      </w:r>
      <w:r>
        <w:rPr>
          <w:spacing w:val="-5"/>
          <w:sz w:val="20"/>
        </w:rPr>
        <w:t> </w:t>
      </w:r>
      <w:r>
        <w:rPr>
          <w:sz w:val="20"/>
        </w:rPr>
        <w:t>physical</w:t>
      </w:r>
      <w:r>
        <w:rPr>
          <w:spacing w:val="-5"/>
          <w:sz w:val="20"/>
        </w:rPr>
        <w:t> </w:t>
      </w:r>
      <w:r>
        <w:rPr>
          <w:sz w:val="20"/>
        </w:rPr>
        <w:t>statement</w:t>
      </w:r>
      <w:r>
        <w:rPr>
          <w:spacing w:val="-8"/>
          <w:sz w:val="20"/>
        </w:rPr>
        <w:t> </w:t>
      </w:r>
      <w:r>
        <w:rPr>
          <w:sz w:val="20"/>
        </w:rPr>
        <w:t>of</w:t>
      </w:r>
      <w:r>
        <w:rPr>
          <w:spacing w:val="-7"/>
          <w:sz w:val="20"/>
        </w:rPr>
        <w:t> </w:t>
      </w:r>
      <w:r>
        <w:rPr>
          <w:sz w:val="20"/>
        </w:rPr>
        <w:t>holding</w:t>
      </w:r>
      <w:r>
        <w:rPr>
          <w:spacing w:val="-6"/>
          <w:sz w:val="20"/>
        </w:rPr>
        <w:t> </w:t>
      </w:r>
      <w:r>
        <w:rPr>
          <w:sz w:val="20"/>
        </w:rPr>
        <w:t>annually</w:t>
      </w:r>
      <w:r>
        <w:rPr>
          <w:spacing w:val="-5"/>
          <w:sz w:val="20"/>
        </w:rPr>
        <w:t> </w:t>
      </w:r>
      <w:r>
        <w:rPr>
          <w:sz w:val="20"/>
        </w:rPr>
        <w:t>to</w:t>
      </w:r>
      <w:r>
        <w:rPr>
          <w:spacing w:val="-6"/>
          <w:sz w:val="20"/>
        </w:rPr>
        <w:t> </w:t>
      </w:r>
      <w:r>
        <w:rPr>
          <w:sz w:val="20"/>
        </w:rPr>
        <w:t>such</w:t>
      </w:r>
      <w:r>
        <w:rPr>
          <w:spacing w:val="-7"/>
          <w:sz w:val="20"/>
        </w:rPr>
        <w:t> </w:t>
      </w:r>
      <w:r>
        <w:rPr>
          <w:sz w:val="20"/>
        </w:rPr>
        <w:t>BOs and shall resume sending the transaction statement as and when there is a transaction in the </w:t>
      </w:r>
      <w:r>
        <w:rPr>
          <w:spacing w:val="-2"/>
          <w:sz w:val="20"/>
        </w:rPr>
        <w:t>account.</w:t>
      </w:r>
    </w:p>
    <w:p>
      <w:pPr>
        <w:pStyle w:val="BodyText"/>
        <w:spacing w:before="38"/>
      </w:pPr>
    </w:p>
    <w:p>
      <w:pPr>
        <w:pStyle w:val="ListParagraph"/>
        <w:numPr>
          <w:ilvl w:val="0"/>
          <w:numId w:val="1"/>
        </w:numPr>
        <w:tabs>
          <w:tab w:pos="881" w:val="left" w:leader="none"/>
          <w:tab w:pos="885" w:val="left" w:leader="none"/>
        </w:tabs>
        <w:spacing w:line="276" w:lineRule="auto" w:before="0" w:after="0"/>
        <w:ind w:left="885" w:right="153" w:hanging="361"/>
        <w:jc w:val="both"/>
        <w:rPr>
          <w:sz w:val="20"/>
        </w:rPr>
      </w:pPr>
      <w:r>
        <w:rPr>
          <w:sz w:val="20"/>
        </w:rPr>
        <w:t>The DP may provide the services of issuing the statement of demat accounts in an electronic mode if the Beneficial Owner so desires. The DP will furnish to the Beneficial Owner the statement of demat accounts under its digital signature, as governed under the Information Technology</w:t>
      </w:r>
      <w:r>
        <w:rPr>
          <w:spacing w:val="-4"/>
          <w:sz w:val="20"/>
        </w:rPr>
        <w:t> </w:t>
      </w:r>
      <w:r>
        <w:rPr>
          <w:sz w:val="20"/>
        </w:rPr>
        <w:t>Act,</w:t>
      </w:r>
      <w:r>
        <w:rPr>
          <w:spacing w:val="-2"/>
          <w:sz w:val="20"/>
        </w:rPr>
        <w:t> </w:t>
      </w:r>
      <w:r>
        <w:rPr>
          <w:sz w:val="20"/>
        </w:rPr>
        <w:t>2000.</w:t>
      </w:r>
      <w:r>
        <w:rPr>
          <w:spacing w:val="-5"/>
          <w:sz w:val="20"/>
        </w:rPr>
        <w:t> </w:t>
      </w:r>
      <w:r>
        <w:rPr>
          <w:sz w:val="20"/>
        </w:rPr>
        <w:t>However</w:t>
      </w:r>
      <w:r>
        <w:rPr>
          <w:spacing w:val="-4"/>
          <w:sz w:val="20"/>
        </w:rPr>
        <w:t> </w:t>
      </w:r>
      <w:r>
        <w:rPr>
          <w:sz w:val="20"/>
        </w:rPr>
        <w:t>if</w:t>
      </w:r>
      <w:r>
        <w:rPr>
          <w:spacing w:val="-6"/>
          <w:sz w:val="20"/>
        </w:rPr>
        <w:t> </w:t>
      </w:r>
      <w:r>
        <w:rPr>
          <w:sz w:val="20"/>
        </w:rPr>
        <w:t>the</w:t>
      </w:r>
      <w:r>
        <w:rPr>
          <w:spacing w:val="-2"/>
          <w:sz w:val="20"/>
        </w:rPr>
        <w:t> </w:t>
      </w:r>
      <w:r>
        <w:rPr>
          <w:sz w:val="20"/>
        </w:rPr>
        <w:t>DP</w:t>
      </w:r>
      <w:r>
        <w:rPr>
          <w:spacing w:val="-6"/>
          <w:sz w:val="20"/>
        </w:rPr>
        <w:t> </w:t>
      </w:r>
      <w:r>
        <w:rPr>
          <w:sz w:val="20"/>
        </w:rPr>
        <w:t>does</w:t>
      </w:r>
      <w:r>
        <w:rPr>
          <w:spacing w:val="-4"/>
          <w:sz w:val="20"/>
        </w:rPr>
        <w:t> </w:t>
      </w:r>
      <w:r>
        <w:rPr>
          <w:sz w:val="20"/>
        </w:rPr>
        <w:t>not</w:t>
      </w:r>
      <w:r>
        <w:rPr>
          <w:spacing w:val="-3"/>
          <w:sz w:val="20"/>
        </w:rPr>
        <w:t> </w:t>
      </w:r>
      <w:r>
        <w:rPr>
          <w:sz w:val="20"/>
        </w:rPr>
        <w:t>have</w:t>
      </w:r>
      <w:r>
        <w:rPr>
          <w:spacing w:val="-6"/>
          <w:sz w:val="20"/>
        </w:rPr>
        <w:t> </w:t>
      </w:r>
      <w:r>
        <w:rPr>
          <w:sz w:val="20"/>
        </w:rPr>
        <w:t>the</w:t>
      </w:r>
      <w:r>
        <w:rPr>
          <w:spacing w:val="-2"/>
          <w:sz w:val="20"/>
        </w:rPr>
        <w:t> </w:t>
      </w:r>
      <w:r>
        <w:rPr>
          <w:sz w:val="20"/>
        </w:rPr>
        <w:t>facility</w:t>
      </w:r>
      <w:r>
        <w:rPr>
          <w:spacing w:val="-5"/>
          <w:sz w:val="20"/>
        </w:rPr>
        <w:t> </w:t>
      </w:r>
      <w:r>
        <w:rPr>
          <w:sz w:val="20"/>
        </w:rPr>
        <w:t>of providing</w:t>
      </w:r>
      <w:r>
        <w:rPr>
          <w:spacing w:val="-3"/>
          <w:sz w:val="20"/>
        </w:rPr>
        <w:t> </w:t>
      </w:r>
      <w:r>
        <w:rPr>
          <w:sz w:val="20"/>
        </w:rPr>
        <w:t>the</w:t>
      </w:r>
      <w:r>
        <w:rPr>
          <w:spacing w:val="-4"/>
          <w:sz w:val="20"/>
        </w:rPr>
        <w:t> </w:t>
      </w:r>
      <w:r>
        <w:rPr>
          <w:sz w:val="20"/>
        </w:rPr>
        <w:t>statement of demat account in the electronic mode, then the Participant shall be obliged to forward the statement of demat accounts in physical form.</w:t>
      </w:r>
    </w:p>
    <w:p>
      <w:pPr>
        <w:pStyle w:val="BodyText"/>
        <w:spacing w:before="36"/>
      </w:pPr>
    </w:p>
    <w:p>
      <w:pPr>
        <w:pStyle w:val="ListParagraph"/>
        <w:numPr>
          <w:ilvl w:val="0"/>
          <w:numId w:val="1"/>
        </w:numPr>
        <w:tabs>
          <w:tab w:pos="881" w:val="left" w:leader="none"/>
          <w:tab w:pos="885" w:val="left" w:leader="none"/>
        </w:tabs>
        <w:spacing w:line="271" w:lineRule="auto" w:before="0" w:after="0"/>
        <w:ind w:left="885" w:right="165" w:hanging="361"/>
        <w:jc w:val="both"/>
        <w:rPr>
          <w:sz w:val="20"/>
        </w:rPr>
      </w:pPr>
      <w:r>
        <w:rPr>
          <w:sz w:val="20"/>
        </w:rPr>
        <w:t>In case of Basic Services Demat Accounts, the DP shall send the transaction statements as mandated by SEBI and/or Depository from time to time.</w:t>
      </w:r>
    </w:p>
    <w:p>
      <w:pPr>
        <w:pStyle w:val="Heading1"/>
        <w:spacing w:before="209"/>
      </w:pPr>
      <w:r>
        <w:rPr/>
        <w:t>Manner</w:t>
      </w:r>
      <w:r>
        <w:rPr>
          <w:spacing w:val="-11"/>
        </w:rPr>
        <w:t> </w:t>
      </w:r>
      <w:r>
        <w:rPr/>
        <w:t>of</w:t>
      </w:r>
      <w:r>
        <w:rPr>
          <w:spacing w:val="-6"/>
        </w:rPr>
        <w:t> </w:t>
      </w:r>
      <w:r>
        <w:rPr/>
        <w:t>Closure</w:t>
      </w:r>
      <w:r>
        <w:rPr>
          <w:spacing w:val="-11"/>
        </w:rPr>
        <w:t> </w:t>
      </w:r>
      <w:r>
        <w:rPr/>
        <w:t>of</w:t>
      </w:r>
      <w:r>
        <w:rPr>
          <w:spacing w:val="-10"/>
        </w:rPr>
        <w:t> </w:t>
      </w:r>
      <w:r>
        <w:rPr/>
        <w:t>Demat</w:t>
      </w:r>
      <w:r>
        <w:rPr>
          <w:spacing w:val="-9"/>
        </w:rPr>
        <w:t> </w:t>
      </w:r>
      <w:r>
        <w:rPr>
          <w:spacing w:val="-2"/>
        </w:rPr>
        <w:t>account</w:t>
      </w:r>
    </w:p>
    <w:p>
      <w:pPr>
        <w:pStyle w:val="ListParagraph"/>
        <w:numPr>
          <w:ilvl w:val="0"/>
          <w:numId w:val="1"/>
        </w:numPr>
        <w:tabs>
          <w:tab w:pos="881" w:val="left" w:leader="none"/>
          <w:tab w:pos="885" w:val="left" w:leader="none"/>
        </w:tabs>
        <w:spacing w:line="276" w:lineRule="auto" w:before="236" w:after="0"/>
        <w:ind w:left="885" w:right="149" w:hanging="361"/>
        <w:jc w:val="both"/>
        <w:rPr>
          <w:sz w:val="20"/>
        </w:rPr>
      </w:pPr>
      <w:r>
        <w:rPr>
          <w:sz w:val="20"/>
        </w:rPr>
        <w:t>The</w:t>
      </w:r>
      <w:r>
        <w:rPr>
          <w:spacing w:val="-12"/>
          <w:sz w:val="20"/>
        </w:rPr>
        <w:t> </w:t>
      </w:r>
      <w:r>
        <w:rPr>
          <w:sz w:val="20"/>
        </w:rPr>
        <w:t>DP</w:t>
      </w:r>
      <w:r>
        <w:rPr>
          <w:spacing w:val="-12"/>
          <w:sz w:val="20"/>
        </w:rPr>
        <w:t> </w:t>
      </w:r>
      <w:r>
        <w:rPr>
          <w:sz w:val="20"/>
        </w:rPr>
        <w:t>shall</w:t>
      </w:r>
      <w:r>
        <w:rPr>
          <w:spacing w:val="-10"/>
          <w:sz w:val="20"/>
        </w:rPr>
        <w:t> </w:t>
      </w:r>
      <w:r>
        <w:rPr>
          <w:sz w:val="20"/>
        </w:rPr>
        <w:t>have</w:t>
      </w:r>
      <w:r>
        <w:rPr>
          <w:spacing w:val="-11"/>
          <w:sz w:val="20"/>
        </w:rPr>
        <w:t> </w:t>
      </w:r>
      <w:r>
        <w:rPr>
          <w:sz w:val="20"/>
        </w:rPr>
        <w:t>the</w:t>
      </w:r>
      <w:r>
        <w:rPr>
          <w:spacing w:val="-12"/>
          <w:sz w:val="20"/>
        </w:rPr>
        <w:t> </w:t>
      </w:r>
      <w:r>
        <w:rPr>
          <w:sz w:val="20"/>
        </w:rPr>
        <w:t>right</w:t>
      </w:r>
      <w:r>
        <w:rPr>
          <w:spacing w:val="-9"/>
          <w:sz w:val="20"/>
        </w:rPr>
        <w:t> </w:t>
      </w:r>
      <w:r>
        <w:rPr>
          <w:sz w:val="20"/>
        </w:rPr>
        <w:t>to</w:t>
      </w:r>
      <w:r>
        <w:rPr>
          <w:spacing w:val="-14"/>
          <w:sz w:val="20"/>
        </w:rPr>
        <w:t> </w:t>
      </w:r>
      <w:r>
        <w:rPr>
          <w:sz w:val="20"/>
        </w:rPr>
        <w:t>close</w:t>
      </w:r>
      <w:r>
        <w:rPr>
          <w:spacing w:val="-12"/>
          <w:sz w:val="20"/>
        </w:rPr>
        <w:t> </w:t>
      </w:r>
      <w:r>
        <w:rPr>
          <w:sz w:val="20"/>
        </w:rPr>
        <w:t>the</w:t>
      </w:r>
      <w:r>
        <w:rPr>
          <w:spacing w:val="-12"/>
          <w:sz w:val="20"/>
        </w:rPr>
        <w:t> </w:t>
      </w:r>
      <w:r>
        <w:rPr>
          <w:sz w:val="20"/>
        </w:rPr>
        <w:t>demat</w:t>
      </w:r>
      <w:r>
        <w:rPr>
          <w:spacing w:val="-12"/>
          <w:sz w:val="20"/>
        </w:rPr>
        <w:t> </w:t>
      </w:r>
      <w:r>
        <w:rPr>
          <w:sz w:val="20"/>
        </w:rPr>
        <w:t>account</w:t>
      </w:r>
      <w:r>
        <w:rPr>
          <w:spacing w:val="-7"/>
          <w:sz w:val="20"/>
        </w:rPr>
        <w:t> </w:t>
      </w:r>
      <w:r>
        <w:rPr>
          <w:sz w:val="20"/>
        </w:rPr>
        <w:t>of</w:t>
      </w:r>
      <w:r>
        <w:rPr>
          <w:spacing w:val="-16"/>
          <w:sz w:val="20"/>
        </w:rPr>
        <w:t> </w:t>
      </w:r>
      <w:r>
        <w:rPr>
          <w:sz w:val="20"/>
        </w:rPr>
        <w:t>the</w:t>
      </w:r>
      <w:r>
        <w:rPr>
          <w:spacing w:val="-11"/>
          <w:sz w:val="20"/>
        </w:rPr>
        <w:t> </w:t>
      </w:r>
      <w:r>
        <w:rPr>
          <w:sz w:val="20"/>
        </w:rPr>
        <w:t>Beneficial</w:t>
      </w:r>
      <w:r>
        <w:rPr>
          <w:spacing w:val="-14"/>
          <w:sz w:val="20"/>
        </w:rPr>
        <w:t> </w:t>
      </w:r>
      <w:r>
        <w:rPr>
          <w:sz w:val="20"/>
        </w:rPr>
        <w:t>Owner,</w:t>
      </w:r>
      <w:r>
        <w:rPr>
          <w:spacing w:val="-13"/>
          <w:sz w:val="20"/>
        </w:rPr>
        <w:t> </w:t>
      </w:r>
      <w:r>
        <w:rPr>
          <w:sz w:val="20"/>
        </w:rPr>
        <w:t>for</w:t>
      </w:r>
      <w:r>
        <w:rPr>
          <w:spacing w:val="-10"/>
          <w:sz w:val="20"/>
        </w:rPr>
        <w:t> </w:t>
      </w:r>
      <w:r>
        <w:rPr>
          <w:sz w:val="20"/>
        </w:rPr>
        <w:t>any</w:t>
      </w:r>
      <w:r>
        <w:rPr>
          <w:spacing w:val="-4"/>
          <w:sz w:val="20"/>
        </w:rPr>
        <w:t> </w:t>
      </w:r>
      <w:r>
        <w:rPr>
          <w:sz w:val="20"/>
        </w:rPr>
        <w:t>reasons whatsoever, provided the DP has given a notice in writing of not less than thirty days to the Beneficial Owner as well as to the Depository. Similarly, the Beneficial Owner shall have the right to close his/her demat account held with the DP provided no charges are payable by him/her to the DP. In such an event, the Beneficial Owner shall specify whether the balances in</w:t>
      </w:r>
      <w:r>
        <w:rPr>
          <w:spacing w:val="-14"/>
          <w:sz w:val="20"/>
        </w:rPr>
        <w:t> </w:t>
      </w:r>
      <w:r>
        <w:rPr>
          <w:sz w:val="20"/>
        </w:rPr>
        <w:t>their</w:t>
      </w:r>
      <w:r>
        <w:rPr>
          <w:spacing w:val="-10"/>
          <w:sz w:val="20"/>
        </w:rPr>
        <w:t> </w:t>
      </w:r>
      <w:r>
        <w:rPr>
          <w:sz w:val="20"/>
        </w:rPr>
        <w:t>demat</w:t>
      </w:r>
      <w:r>
        <w:rPr>
          <w:spacing w:val="-11"/>
          <w:sz w:val="20"/>
        </w:rPr>
        <w:t> </w:t>
      </w:r>
      <w:r>
        <w:rPr>
          <w:sz w:val="20"/>
        </w:rPr>
        <w:t>account</w:t>
      </w:r>
      <w:r>
        <w:rPr>
          <w:spacing w:val="-11"/>
          <w:sz w:val="20"/>
        </w:rPr>
        <w:t> </w:t>
      </w:r>
      <w:r>
        <w:rPr>
          <w:sz w:val="20"/>
        </w:rPr>
        <w:t>should</w:t>
      </w:r>
      <w:r>
        <w:rPr>
          <w:spacing w:val="-13"/>
          <w:sz w:val="20"/>
        </w:rPr>
        <w:t> </w:t>
      </w:r>
      <w:r>
        <w:rPr>
          <w:sz w:val="20"/>
        </w:rPr>
        <w:t>be</w:t>
      </w:r>
      <w:r>
        <w:rPr>
          <w:spacing w:val="-8"/>
          <w:sz w:val="20"/>
        </w:rPr>
        <w:t> </w:t>
      </w:r>
      <w:r>
        <w:rPr>
          <w:sz w:val="20"/>
        </w:rPr>
        <w:t>transferred</w:t>
      </w:r>
      <w:r>
        <w:rPr>
          <w:spacing w:val="-9"/>
          <w:sz w:val="20"/>
        </w:rPr>
        <w:t> </w:t>
      </w:r>
      <w:r>
        <w:rPr>
          <w:sz w:val="20"/>
        </w:rPr>
        <w:t>to</w:t>
      </w:r>
      <w:r>
        <w:rPr>
          <w:spacing w:val="-11"/>
          <w:sz w:val="20"/>
        </w:rPr>
        <w:t> </w:t>
      </w:r>
      <w:r>
        <w:rPr>
          <w:sz w:val="20"/>
        </w:rPr>
        <w:t>another</w:t>
      </w:r>
      <w:r>
        <w:rPr>
          <w:spacing w:val="-2"/>
          <w:sz w:val="20"/>
        </w:rPr>
        <w:t> </w:t>
      </w:r>
      <w:r>
        <w:rPr>
          <w:sz w:val="20"/>
        </w:rPr>
        <w:t>demat</w:t>
      </w:r>
      <w:r>
        <w:rPr>
          <w:spacing w:val="-11"/>
          <w:sz w:val="20"/>
        </w:rPr>
        <w:t> </w:t>
      </w:r>
      <w:r>
        <w:rPr>
          <w:sz w:val="20"/>
        </w:rPr>
        <w:t>account</w:t>
      </w:r>
      <w:r>
        <w:rPr>
          <w:spacing w:val="-9"/>
          <w:sz w:val="20"/>
        </w:rPr>
        <w:t> </w:t>
      </w:r>
      <w:r>
        <w:rPr>
          <w:sz w:val="20"/>
        </w:rPr>
        <w:t>of</w:t>
      </w:r>
      <w:r>
        <w:rPr>
          <w:spacing w:val="-14"/>
          <w:sz w:val="20"/>
        </w:rPr>
        <w:t> </w:t>
      </w:r>
      <w:r>
        <w:rPr>
          <w:sz w:val="20"/>
        </w:rPr>
        <w:t>the</w:t>
      </w:r>
      <w:r>
        <w:rPr>
          <w:spacing w:val="-8"/>
          <w:sz w:val="20"/>
        </w:rPr>
        <w:t> </w:t>
      </w:r>
      <w:r>
        <w:rPr>
          <w:sz w:val="20"/>
        </w:rPr>
        <w:t>Beneficial</w:t>
      </w:r>
      <w:r>
        <w:rPr>
          <w:spacing w:val="-10"/>
          <w:sz w:val="20"/>
        </w:rPr>
        <w:t> </w:t>
      </w:r>
      <w:r>
        <w:rPr>
          <w:sz w:val="20"/>
        </w:rPr>
        <w:t>Owner held with another DP or to rematerialize the security balances held.</w:t>
      </w:r>
    </w:p>
    <w:p>
      <w:pPr>
        <w:pStyle w:val="BodyText"/>
        <w:spacing w:before="216"/>
      </w:pPr>
      <w:r>
        <w:rPr/>
        <w:drawing>
          <wp:anchor distT="0" distB="0" distL="0" distR="0" allowOverlap="1" layoutInCell="1" locked="0" behindDoc="1" simplePos="0" relativeHeight="487588352">
            <wp:simplePos x="0" y="0"/>
            <wp:positionH relativeFrom="page">
              <wp:posOffset>3454908</wp:posOffset>
            </wp:positionH>
            <wp:positionV relativeFrom="paragraph">
              <wp:posOffset>305692</wp:posOffset>
            </wp:positionV>
            <wp:extent cx="514965" cy="176212"/>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514965" cy="176212"/>
                    </a:xfrm>
                    <a:prstGeom prst="rect">
                      <a:avLst/>
                    </a:prstGeom>
                  </pic:spPr>
                </pic:pic>
              </a:graphicData>
            </a:graphic>
          </wp:anchor>
        </w:drawing>
      </w:r>
    </w:p>
    <w:p>
      <w:pPr>
        <w:pStyle w:val="BodyText"/>
        <w:spacing w:after="0"/>
        <w:sectPr>
          <w:headerReference w:type="default" r:id="rId7"/>
          <w:footerReference w:type="default" r:id="rId8"/>
          <w:pgSz w:w="11910" w:h="16840"/>
          <w:pgMar w:header="717" w:footer="706" w:top="1020" w:bottom="900" w:left="1275" w:right="1275"/>
          <w:pgNumType w:start="2"/>
        </w:sectPr>
      </w:pPr>
    </w:p>
    <w:p>
      <w:pPr>
        <w:pStyle w:val="BodyText"/>
      </w:pPr>
    </w:p>
    <w:p>
      <w:pPr>
        <w:pStyle w:val="BodyText"/>
      </w:pPr>
    </w:p>
    <w:p>
      <w:pPr>
        <w:pStyle w:val="BodyText"/>
        <w:spacing w:before="113"/>
      </w:pPr>
    </w:p>
    <w:p>
      <w:pPr>
        <w:pStyle w:val="ListParagraph"/>
        <w:numPr>
          <w:ilvl w:val="0"/>
          <w:numId w:val="1"/>
        </w:numPr>
        <w:tabs>
          <w:tab w:pos="1047" w:val="left" w:leader="none"/>
          <w:tab w:pos="1050" w:val="left" w:leader="none"/>
        </w:tabs>
        <w:spacing w:line="276" w:lineRule="auto" w:before="0" w:after="0"/>
        <w:ind w:left="1050" w:right="323" w:hanging="360"/>
        <w:jc w:val="both"/>
        <w:rPr>
          <w:sz w:val="20"/>
        </w:rPr>
      </w:pPr>
      <w:r>
        <w:rPr>
          <w:sz w:val="20"/>
        </w:rPr>
        <w:t>Based on the instructions of the Beneficial Owner, the DP shall initiate the procedure for transferring such security balances or rematerialize such security balances within a period of thirty days as per procedure specified from time to time by the depository. Provided further, closure of demat account shall not affect the rights, liabilities and obligations of either the Beneficial Owner or the DP and shall continue to bind the parties to their satisfactory completion.</w:t>
      </w:r>
    </w:p>
    <w:p>
      <w:pPr>
        <w:pStyle w:val="Heading1"/>
        <w:spacing w:before="200"/>
        <w:ind w:left="330"/>
      </w:pPr>
      <w:r>
        <w:rPr/>
        <w:t>Default</w:t>
      </w:r>
      <w:r>
        <w:rPr>
          <w:spacing w:val="-13"/>
        </w:rPr>
        <w:t> </w:t>
      </w:r>
      <w:r>
        <w:rPr/>
        <w:t>in</w:t>
      </w:r>
      <w:r>
        <w:rPr>
          <w:spacing w:val="-8"/>
        </w:rPr>
        <w:t> </w:t>
      </w:r>
      <w:r>
        <w:rPr/>
        <w:t>payment</w:t>
      </w:r>
      <w:r>
        <w:rPr>
          <w:spacing w:val="-9"/>
        </w:rPr>
        <w:t> </w:t>
      </w:r>
      <w:r>
        <w:rPr/>
        <w:t>of</w:t>
      </w:r>
      <w:r>
        <w:rPr>
          <w:spacing w:val="-13"/>
        </w:rPr>
        <w:t> </w:t>
      </w:r>
      <w:r>
        <w:rPr>
          <w:spacing w:val="-2"/>
        </w:rPr>
        <w:t>charges</w:t>
      </w:r>
    </w:p>
    <w:p>
      <w:pPr>
        <w:pStyle w:val="ListParagraph"/>
        <w:numPr>
          <w:ilvl w:val="0"/>
          <w:numId w:val="1"/>
        </w:numPr>
        <w:tabs>
          <w:tab w:pos="1047" w:val="left" w:leader="none"/>
          <w:tab w:pos="1050" w:val="left" w:leader="none"/>
        </w:tabs>
        <w:spacing w:line="276" w:lineRule="auto" w:before="236" w:after="0"/>
        <w:ind w:left="1050" w:right="325" w:hanging="360"/>
        <w:jc w:val="both"/>
        <w:rPr>
          <w:sz w:val="20"/>
        </w:rPr>
      </w:pPr>
      <w:r>
        <w:rPr>
          <w:sz w:val="20"/>
        </w:rPr>
        <w:t>In</w:t>
      </w:r>
      <w:r>
        <w:rPr>
          <w:spacing w:val="-3"/>
          <w:sz w:val="20"/>
        </w:rPr>
        <w:t> </w:t>
      </w:r>
      <w:r>
        <w:rPr>
          <w:sz w:val="20"/>
        </w:rPr>
        <w:t>event</w:t>
      </w:r>
      <w:r>
        <w:rPr>
          <w:spacing w:val="-2"/>
          <w:sz w:val="20"/>
        </w:rPr>
        <w:t> </w:t>
      </w:r>
      <w:r>
        <w:rPr>
          <w:sz w:val="20"/>
        </w:rPr>
        <w:t>of</w:t>
      </w:r>
      <w:r>
        <w:rPr>
          <w:spacing w:val="-4"/>
          <w:sz w:val="20"/>
        </w:rPr>
        <w:t> </w:t>
      </w:r>
      <w:r>
        <w:rPr>
          <w:sz w:val="20"/>
        </w:rPr>
        <w:t>Beneficial</w:t>
      </w:r>
      <w:r>
        <w:rPr>
          <w:spacing w:val="-1"/>
          <w:sz w:val="20"/>
        </w:rPr>
        <w:t> </w:t>
      </w:r>
      <w:r>
        <w:rPr>
          <w:sz w:val="20"/>
        </w:rPr>
        <w:t>Owner</w:t>
      </w:r>
      <w:r>
        <w:rPr>
          <w:spacing w:val="-3"/>
          <w:sz w:val="20"/>
        </w:rPr>
        <w:t> </w:t>
      </w:r>
      <w:r>
        <w:rPr>
          <w:sz w:val="20"/>
        </w:rPr>
        <w:t>committing</w:t>
      </w:r>
      <w:r>
        <w:rPr>
          <w:spacing w:val="-3"/>
          <w:sz w:val="20"/>
        </w:rPr>
        <w:t> </w:t>
      </w:r>
      <w:r>
        <w:rPr>
          <w:sz w:val="20"/>
        </w:rPr>
        <w:t>a</w:t>
      </w:r>
      <w:r>
        <w:rPr>
          <w:spacing w:val="-2"/>
          <w:sz w:val="20"/>
        </w:rPr>
        <w:t> </w:t>
      </w:r>
      <w:r>
        <w:rPr>
          <w:sz w:val="20"/>
        </w:rPr>
        <w:t>default</w:t>
      </w:r>
      <w:r>
        <w:rPr>
          <w:spacing w:val="-2"/>
          <w:sz w:val="20"/>
        </w:rPr>
        <w:t> </w:t>
      </w:r>
      <w:r>
        <w:rPr>
          <w:sz w:val="20"/>
        </w:rPr>
        <w:t>in</w:t>
      </w:r>
      <w:r>
        <w:rPr>
          <w:spacing w:val="-3"/>
          <w:sz w:val="20"/>
        </w:rPr>
        <w:t> </w:t>
      </w:r>
      <w:r>
        <w:rPr>
          <w:sz w:val="20"/>
        </w:rPr>
        <w:t>the</w:t>
      </w:r>
      <w:r>
        <w:rPr>
          <w:spacing w:val="-1"/>
          <w:sz w:val="20"/>
        </w:rPr>
        <w:t> </w:t>
      </w:r>
      <w:r>
        <w:rPr>
          <w:sz w:val="20"/>
        </w:rPr>
        <w:t>payment of</w:t>
      </w:r>
      <w:r>
        <w:rPr>
          <w:spacing w:val="-4"/>
          <w:sz w:val="20"/>
        </w:rPr>
        <w:t> </w:t>
      </w:r>
      <w:r>
        <w:rPr>
          <w:sz w:val="20"/>
        </w:rPr>
        <w:t>any</w:t>
      </w:r>
      <w:r>
        <w:rPr>
          <w:spacing w:val="-1"/>
          <w:sz w:val="20"/>
        </w:rPr>
        <w:t> </w:t>
      </w:r>
      <w:r>
        <w:rPr>
          <w:sz w:val="20"/>
        </w:rPr>
        <w:t>amount provided in Clause 5 &amp; 6 within a period of thirty days from the date of demand, without prejudice </w:t>
      </w:r>
      <w:r>
        <w:rPr>
          <w:spacing w:val="-2"/>
          <w:sz w:val="20"/>
        </w:rPr>
        <w:t>to</w:t>
      </w:r>
      <w:r>
        <w:rPr>
          <w:spacing w:val="-6"/>
          <w:sz w:val="20"/>
        </w:rPr>
        <w:t> </w:t>
      </w:r>
      <w:r>
        <w:rPr>
          <w:spacing w:val="-2"/>
          <w:sz w:val="20"/>
        </w:rPr>
        <w:t>the right</w:t>
      </w:r>
      <w:r>
        <w:rPr>
          <w:spacing w:val="-10"/>
          <w:sz w:val="20"/>
        </w:rPr>
        <w:t> </w:t>
      </w:r>
      <w:r>
        <w:rPr>
          <w:spacing w:val="-2"/>
          <w:sz w:val="20"/>
        </w:rPr>
        <w:t>of</w:t>
      </w:r>
      <w:r>
        <w:rPr>
          <w:spacing w:val="-14"/>
          <w:sz w:val="20"/>
        </w:rPr>
        <w:t> </w:t>
      </w:r>
      <w:r>
        <w:rPr>
          <w:spacing w:val="-2"/>
          <w:sz w:val="20"/>
        </w:rPr>
        <w:t>the</w:t>
      </w:r>
      <w:r>
        <w:rPr>
          <w:spacing w:val="-11"/>
          <w:sz w:val="20"/>
        </w:rPr>
        <w:t> </w:t>
      </w:r>
      <w:r>
        <w:rPr>
          <w:spacing w:val="-2"/>
          <w:sz w:val="20"/>
        </w:rPr>
        <w:t>DP</w:t>
      </w:r>
      <w:r>
        <w:rPr>
          <w:spacing w:val="-11"/>
          <w:sz w:val="20"/>
        </w:rPr>
        <w:t> </w:t>
      </w:r>
      <w:r>
        <w:rPr>
          <w:spacing w:val="-2"/>
          <w:sz w:val="20"/>
        </w:rPr>
        <w:t>to</w:t>
      </w:r>
      <w:r>
        <w:rPr>
          <w:spacing w:val="-11"/>
          <w:sz w:val="20"/>
        </w:rPr>
        <w:t> </w:t>
      </w:r>
      <w:r>
        <w:rPr>
          <w:spacing w:val="-2"/>
          <w:sz w:val="20"/>
        </w:rPr>
        <w:t>close</w:t>
      </w:r>
      <w:r>
        <w:rPr>
          <w:spacing w:val="-11"/>
          <w:sz w:val="20"/>
        </w:rPr>
        <w:t> </w:t>
      </w:r>
      <w:r>
        <w:rPr>
          <w:spacing w:val="-2"/>
          <w:sz w:val="20"/>
        </w:rPr>
        <w:t>the</w:t>
      </w:r>
      <w:r>
        <w:rPr>
          <w:spacing w:val="-11"/>
          <w:sz w:val="20"/>
        </w:rPr>
        <w:t> </w:t>
      </w:r>
      <w:r>
        <w:rPr>
          <w:spacing w:val="-2"/>
          <w:sz w:val="20"/>
        </w:rPr>
        <w:t>demat</w:t>
      </w:r>
      <w:r>
        <w:rPr>
          <w:spacing w:val="-10"/>
          <w:sz w:val="20"/>
        </w:rPr>
        <w:t> </w:t>
      </w:r>
      <w:r>
        <w:rPr>
          <w:spacing w:val="-2"/>
          <w:sz w:val="20"/>
        </w:rPr>
        <w:t>account</w:t>
      </w:r>
      <w:r>
        <w:rPr>
          <w:spacing w:val="-12"/>
          <w:sz w:val="20"/>
        </w:rPr>
        <w:t> </w:t>
      </w:r>
      <w:r>
        <w:rPr>
          <w:spacing w:val="-2"/>
          <w:sz w:val="20"/>
        </w:rPr>
        <w:t>of</w:t>
      </w:r>
      <w:r>
        <w:rPr>
          <w:spacing w:val="-14"/>
          <w:sz w:val="20"/>
        </w:rPr>
        <w:t> </w:t>
      </w:r>
      <w:r>
        <w:rPr>
          <w:spacing w:val="-2"/>
          <w:sz w:val="20"/>
        </w:rPr>
        <w:t>the</w:t>
      </w:r>
      <w:r>
        <w:rPr>
          <w:spacing w:val="-11"/>
          <w:sz w:val="20"/>
        </w:rPr>
        <w:t> </w:t>
      </w:r>
      <w:r>
        <w:rPr>
          <w:spacing w:val="-2"/>
          <w:sz w:val="20"/>
        </w:rPr>
        <w:t>Beneficial</w:t>
      </w:r>
      <w:r>
        <w:rPr>
          <w:spacing w:val="-11"/>
          <w:sz w:val="20"/>
        </w:rPr>
        <w:t> </w:t>
      </w:r>
      <w:r>
        <w:rPr>
          <w:spacing w:val="-2"/>
          <w:sz w:val="20"/>
        </w:rPr>
        <w:t>Owner,</w:t>
      </w:r>
      <w:r>
        <w:rPr>
          <w:spacing w:val="-11"/>
          <w:sz w:val="20"/>
        </w:rPr>
        <w:t> </w:t>
      </w:r>
      <w:r>
        <w:rPr>
          <w:spacing w:val="-2"/>
          <w:sz w:val="20"/>
        </w:rPr>
        <w:t>the DP</w:t>
      </w:r>
      <w:r>
        <w:rPr>
          <w:spacing w:val="-11"/>
          <w:sz w:val="20"/>
        </w:rPr>
        <w:t> </w:t>
      </w:r>
      <w:r>
        <w:rPr>
          <w:spacing w:val="-2"/>
          <w:sz w:val="20"/>
        </w:rPr>
        <w:t>may</w:t>
      </w:r>
      <w:r>
        <w:rPr>
          <w:spacing w:val="-14"/>
          <w:sz w:val="20"/>
        </w:rPr>
        <w:t> </w:t>
      </w:r>
      <w:r>
        <w:rPr>
          <w:spacing w:val="-2"/>
          <w:sz w:val="20"/>
        </w:rPr>
        <w:t>charge </w:t>
      </w:r>
      <w:r>
        <w:rPr>
          <w:sz w:val="20"/>
        </w:rPr>
        <w:t>interest at a rate as specified by the Depository from time to time for the period of such </w:t>
      </w:r>
      <w:r>
        <w:rPr>
          <w:spacing w:val="-2"/>
          <w:sz w:val="20"/>
        </w:rPr>
        <w:t>default.</w:t>
      </w:r>
    </w:p>
    <w:p>
      <w:pPr>
        <w:pStyle w:val="BodyText"/>
        <w:spacing w:before="38"/>
      </w:pPr>
    </w:p>
    <w:p>
      <w:pPr>
        <w:pStyle w:val="ListParagraph"/>
        <w:numPr>
          <w:ilvl w:val="0"/>
          <w:numId w:val="1"/>
        </w:numPr>
        <w:tabs>
          <w:tab w:pos="1047" w:val="left" w:leader="none"/>
          <w:tab w:pos="1050" w:val="left" w:leader="none"/>
        </w:tabs>
        <w:spacing w:line="276" w:lineRule="auto" w:before="0" w:after="0"/>
        <w:ind w:left="1050" w:right="323" w:hanging="360"/>
        <w:jc w:val="both"/>
        <w:rPr>
          <w:sz w:val="20"/>
        </w:rPr>
      </w:pPr>
      <w:r>
        <w:rPr>
          <w:sz w:val="20"/>
        </w:rPr>
        <w:t>In case the Beneficial Owner has failed to make the payment of any of the amounts as provided</w:t>
      </w:r>
      <w:r>
        <w:rPr>
          <w:spacing w:val="-16"/>
          <w:sz w:val="20"/>
        </w:rPr>
        <w:t> </w:t>
      </w:r>
      <w:r>
        <w:rPr>
          <w:sz w:val="20"/>
        </w:rPr>
        <w:t>in</w:t>
      </w:r>
      <w:r>
        <w:rPr>
          <w:spacing w:val="-16"/>
          <w:sz w:val="20"/>
        </w:rPr>
        <w:t> </w:t>
      </w:r>
      <w:r>
        <w:rPr>
          <w:sz w:val="20"/>
        </w:rPr>
        <w:t>Clause</w:t>
      </w:r>
      <w:r>
        <w:rPr>
          <w:spacing w:val="-15"/>
          <w:sz w:val="20"/>
        </w:rPr>
        <w:t> </w:t>
      </w:r>
      <w:r>
        <w:rPr>
          <w:sz w:val="20"/>
        </w:rPr>
        <w:t>5&amp;6</w:t>
      </w:r>
      <w:r>
        <w:rPr>
          <w:spacing w:val="-16"/>
          <w:sz w:val="20"/>
        </w:rPr>
        <w:t> </w:t>
      </w:r>
      <w:r>
        <w:rPr>
          <w:sz w:val="20"/>
        </w:rPr>
        <w:t>specified</w:t>
      </w:r>
      <w:r>
        <w:rPr>
          <w:spacing w:val="-16"/>
          <w:sz w:val="20"/>
        </w:rPr>
        <w:t> </w:t>
      </w:r>
      <w:r>
        <w:rPr>
          <w:sz w:val="20"/>
        </w:rPr>
        <w:t>above,</w:t>
      </w:r>
      <w:r>
        <w:rPr>
          <w:spacing w:val="-15"/>
          <w:sz w:val="20"/>
        </w:rPr>
        <w:t> </w:t>
      </w:r>
      <w:r>
        <w:rPr>
          <w:sz w:val="20"/>
        </w:rPr>
        <w:t>the</w:t>
      </w:r>
      <w:r>
        <w:rPr>
          <w:spacing w:val="-14"/>
          <w:sz w:val="20"/>
        </w:rPr>
        <w:t> </w:t>
      </w:r>
      <w:r>
        <w:rPr>
          <w:sz w:val="20"/>
        </w:rPr>
        <w:t>DP</w:t>
      </w:r>
      <w:r>
        <w:rPr>
          <w:spacing w:val="-14"/>
          <w:sz w:val="20"/>
        </w:rPr>
        <w:t> </w:t>
      </w:r>
      <w:r>
        <w:rPr>
          <w:sz w:val="20"/>
        </w:rPr>
        <w:t>after</w:t>
      </w:r>
      <w:r>
        <w:rPr>
          <w:spacing w:val="-16"/>
          <w:sz w:val="20"/>
        </w:rPr>
        <w:t> </w:t>
      </w:r>
      <w:r>
        <w:rPr>
          <w:sz w:val="20"/>
        </w:rPr>
        <w:t>giving</w:t>
      </w:r>
      <w:r>
        <w:rPr>
          <w:spacing w:val="-16"/>
          <w:sz w:val="20"/>
        </w:rPr>
        <w:t> </w:t>
      </w:r>
      <w:r>
        <w:rPr>
          <w:sz w:val="20"/>
        </w:rPr>
        <w:t>two</w:t>
      </w:r>
      <w:r>
        <w:rPr>
          <w:spacing w:val="-13"/>
          <w:sz w:val="20"/>
        </w:rPr>
        <w:t> </w:t>
      </w:r>
      <w:r>
        <w:rPr>
          <w:sz w:val="20"/>
        </w:rPr>
        <w:t>days</w:t>
      </w:r>
      <w:r>
        <w:rPr>
          <w:spacing w:val="-16"/>
          <w:sz w:val="20"/>
        </w:rPr>
        <w:t> </w:t>
      </w:r>
      <w:r>
        <w:rPr>
          <w:sz w:val="20"/>
        </w:rPr>
        <w:t>notice</w:t>
      </w:r>
      <w:r>
        <w:rPr>
          <w:spacing w:val="-16"/>
          <w:sz w:val="20"/>
        </w:rPr>
        <w:t> </w:t>
      </w:r>
      <w:r>
        <w:rPr>
          <w:sz w:val="20"/>
        </w:rPr>
        <w:t>to</w:t>
      </w:r>
      <w:r>
        <w:rPr>
          <w:spacing w:val="-15"/>
          <w:sz w:val="20"/>
        </w:rPr>
        <w:t> </w:t>
      </w:r>
      <w:r>
        <w:rPr>
          <w:sz w:val="20"/>
        </w:rPr>
        <w:t>the</w:t>
      </w:r>
      <w:r>
        <w:rPr>
          <w:spacing w:val="-8"/>
          <w:sz w:val="20"/>
        </w:rPr>
        <w:t> </w:t>
      </w:r>
      <w:r>
        <w:rPr>
          <w:sz w:val="20"/>
        </w:rPr>
        <w:t>Beneficial Owner</w:t>
      </w:r>
      <w:r>
        <w:rPr>
          <w:spacing w:val="-16"/>
          <w:sz w:val="20"/>
        </w:rPr>
        <w:t> </w:t>
      </w:r>
      <w:r>
        <w:rPr>
          <w:sz w:val="20"/>
        </w:rPr>
        <w:t>shall</w:t>
      </w:r>
      <w:r>
        <w:rPr>
          <w:spacing w:val="-16"/>
          <w:sz w:val="20"/>
        </w:rPr>
        <w:t> </w:t>
      </w:r>
      <w:r>
        <w:rPr>
          <w:sz w:val="20"/>
        </w:rPr>
        <w:t>have</w:t>
      </w:r>
      <w:r>
        <w:rPr>
          <w:spacing w:val="-15"/>
          <w:sz w:val="20"/>
        </w:rPr>
        <w:t> </w:t>
      </w:r>
      <w:r>
        <w:rPr>
          <w:sz w:val="20"/>
        </w:rPr>
        <w:t>the</w:t>
      </w:r>
      <w:r>
        <w:rPr>
          <w:spacing w:val="-16"/>
          <w:sz w:val="20"/>
        </w:rPr>
        <w:t> </w:t>
      </w:r>
      <w:r>
        <w:rPr>
          <w:sz w:val="20"/>
        </w:rPr>
        <w:t>right</w:t>
      </w:r>
      <w:r>
        <w:rPr>
          <w:spacing w:val="-16"/>
          <w:sz w:val="20"/>
        </w:rPr>
        <w:t> </w:t>
      </w:r>
      <w:r>
        <w:rPr>
          <w:sz w:val="20"/>
        </w:rPr>
        <w:t>to</w:t>
      </w:r>
      <w:r>
        <w:rPr>
          <w:spacing w:val="-15"/>
          <w:sz w:val="20"/>
        </w:rPr>
        <w:t> </w:t>
      </w:r>
      <w:r>
        <w:rPr>
          <w:sz w:val="20"/>
        </w:rPr>
        <w:t>stop</w:t>
      </w:r>
      <w:r>
        <w:rPr>
          <w:spacing w:val="-16"/>
          <w:sz w:val="20"/>
        </w:rPr>
        <w:t> </w:t>
      </w:r>
      <w:r>
        <w:rPr>
          <w:sz w:val="20"/>
        </w:rPr>
        <w:t>processing</w:t>
      </w:r>
      <w:r>
        <w:rPr>
          <w:spacing w:val="-15"/>
          <w:sz w:val="20"/>
        </w:rPr>
        <w:t> </w:t>
      </w:r>
      <w:r>
        <w:rPr>
          <w:sz w:val="20"/>
        </w:rPr>
        <w:t>of</w:t>
      </w:r>
      <w:r>
        <w:rPr>
          <w:spacing w:val="-16"/>
          <w:sz w:val="20"/>
        </w:rPr>
        <w:t> </w:t>
      </w:r>
      <w:r>
        <w:rPr>
          <w:sz w:val="20"/>
        </w:rPr>
        <w:t>instructions</w:t>
      </w:r>
      <w:r>
        <w:rPr>
          <w:spacing w:val="-16"/>
          <w:sz w:val="20"/>
        </w:rPr>
        <w:t> </w:t>
      </w:r>
      <w:r>
        <w:rPr>
          <w:sz w:val="20"/>
        </w:rPr>
        <w:t>of</w:t>
      </w:r>
      <w:r>
        <w:rPr>
          <w:spacing w:val="-15"/>
          <w:sz w:val="20"/>
        </w:rPr>
        <w:t> </w:t>
      </w:r>
      <w:r>
        <w:rPr>
          <w:sz w:val="20"/>
        </w:rPr>
        <w:t>the</w:t>
      </w:r>
      <w:r>
        <w:rPr>
          <w:spacing w:val="-16"/>
          <w:sz w:val="20"/>
        </w:rPr>
        <w:t> </w:t>
      </w:r>
      <w:r>
        <w:rPr>
          <w:sz w:val="20"/>
        </w:rPr>
        <w:t>Beneficial</w:t>
      </w:r>
      <w:r>
        <w:rPr>
          <w:spacing w:val="-14"/>
          <w:sz w:val="20"/>
        </w:rPr>
        <w:t> </w:t>
      </w:r>
      <w:r>
        <w:rPr>
          <w:sz w:val="20"/>
        </w:rPr>
        <w:t>Owner</w:t>
      </w:r>
      <w:r>
        <w:rPr>
          <w:spacing w:val="-12"/>
          <w:sz w:val="20"/>
        </w:rPr>
        <w:t> </w:t>
      </w:r>
      <w:r>
        <w:rPr>
          <w:sz w:val="20"/>
        </w:rPr>
        <w:t>till</w:t>
      </w:r>
      <w:r>
        <w:rPr>
          <w:spacing w:val="-16"/>
          <w:sz w:val="20"/>
        </w:rPr>
        <w:t> </w:t>
      </w:r>
      <w:r>
        <w:rPr>
          <w:sz w:val="20"/>
        </w:rPr>
        <w:t>such time he makes the payment along with interest, if any.</w:t>
      </w:r>
    </w:p>
    <w:p>
      <w:pPr>
        <w:pStyle w:val="Heading1"/>
        <w:spacing w:before="200"/>
        <w:ind w:left="330"/>
      </w:pPr>
      <w:r>
        <w:rPr/>
        <w:t>Liability</w:t>
      </w:r>
      <w:r>
        <w:rPr>
          <w:spacing w:val="-9"/>
        </w:rPr>
        <w:t> </w:t>
      </w:r>
      <w:r>
        <w:rPr/>
        <w:t>of</w:t>
      </w:r>
      <w:r>
        <w:rPr>
          <w:spacing w:val="-10"/>
        </w:rPr>
        <w:t> </w:t>
      </w:r>
      <w:r>
        <w:rPr/>
        <w:t>the</w:t>
      </w:r>
      <w:r>
        <w:rPr>
          <w:spacing w:val="-11"/>
        </w:rPr>
        <w:t> </w:t>
      </w:r>
      <w:r>
        <w:rPr>
          <w:spacing w:val="-2"/>
        </w:rPr>
        <w:t>Depository</w:t>
      </w:r>
    </w:p>
    <w:p>
      <w:pPr>
        <w:pStyle w:val="ListParagraph"/>
        <w:numPr>
          <w:ilvl w:val="0"/>
          <w:numId w:val="1"/>
        </w:numPr>
        <w:tabs>
          <w:tab w:pos="1045" w:val="left" w:leader="none"/>
        </w:tabs>
        <w:spacing w:line="240" w:lineRule="auto" w:before="236" w:after="0"/>
        <w:ind w:left="1045" w:right="0" w:hanging="355"/>
        <w:jc w:val="both"/>
        <w:rPr>
          <w:sz w:val="20"/>
        </w:rPr>
      </w:pPr>
      <w:r>
        <w:rPr>
          <w:sz w:val="20"/>
        </w:rPr>
        <w:t>As</w:t>
      </w:r>
      <w:r>
        <w:rPr>
          <w:spacing w:val="-11"/>
          <w:sz w:val="20"/>
        </w:rPr>
        <w:t> </w:t>
      </w:r>
      <w:r>
        <w:rPr>
          <w:sz w:val="20"/>
        </w:rPr>
        <w:t>per</w:t>
      </w:r>
      <w:r>
        <w:rPr>
          <w:spacing w:val="-6"/>
          <w:sz w:val="20"/>
        </w:rPr>
        <w:t> </w:t>
      </w:r>
      <w:r>
        <w:rPr>
          <w:sz w:val="20"/>
        </w:rPr>
        <w:t>Section</w:t>
      </w:r>
      <w:r>
        <w:rPr>
          <w:spacing w:val="-9"/>
          <w:sz w:val="20"/>
        </w:rPr>
        <w:t> </w:t>
      </w:r>
      <w:r>
        <w:rPr>
          <w:sz w:val="20"/>
        </w:rPr>
        <w:t>16</w:t>
      </w:r>
      <w:r>
        <w:rPr>
          <w:spacing w:val="-10"/>
          <w:sz w:val="20"/>
        </w:rPr>
        <w:t> </w:t>
      </w:r>
      <w:r>
        <w:rPr>
          <w:sz w:val="20"/>
        </w:rPr>
        <w:t>of</w:t>
      </w:r>
      <w:r>
        <w:rPr>
          <w:spacing w:val="-8"/>
          <w:sz w:val="20"/>
        </w:rPr>
        <w:t> </w:t>
      </w:r>
      <w:r>
        <w:rPr>
          <w:sz w:val="20"/>
        </w:rPr>
        <w:t>Depositories</w:t>
      </w:r>
      <w:r>
        <w:rPr>
          <w:spacing w:val="-9"/>
          <w:sz w:val="20"/>
        </w:rPr>
        <w:t> </w:t>
      </w:r>
      <w:r>
        <w:rPr>
          <w:sz w:val="20"/>
        </w:rPr>
        <w:t>Act,</w:t>
      </w:r>
      <w:r>
        <w:rPr>
          <w:spacing w:val="-8"/>
          <w:sz w:val="20"/>
        </w:rPr>
        <w:t> </w:t>
      </w:r>
      <w:r>
        <w:rPr>
          <w:spacing w:val="-2"/>
          <w:sz w:val="20"/>
        </w:rPr>
        <w:t>1996,</w:t>
      </w:r>
    </w:p>
    <w:p>
      <w:pPr>
        <w:pStyle w:val="ListParagraph"/>
        <w:numPr>
          <w:ilvl w:val="1"/>
          <w:numId w:val="1"/>
        </w:numPr>
        <w:tabs>
          <w:tab w:pos="1767" w:val="left" w:leader="none"/>
          <w:tab w:pos="1770" w:val="left" w:leader="none"/>
        </w:tabs>
        <w:spacing w:line="276" w:lineRule="auto" w:before="35" w:after="0"/>
        <w:ind w:left="1770" w:right="325" w:hanging="361"/>
        <w:jc w:val="both"/>
        <w:rPr>
          <w:sz w:val="20"/>
        </w:rPr>
      </w:pPr>
      <w:r>
        <w:rPr>
          <w:sz w:val="20"/>
        </w:rPr>
        <w:t>Without prejudice to the provisions of any other law for the time being in force, any</w:t>
      </w:r>
      <w:r>
        <w:rPr>
          <w:spacing w:val="-4"/>
          <w:sz w:val="20"/>
        </w:rPr>
        <w:t> </w:t>
      </w:r>
      <w:r>
        <w:rPr>
          <w:sz w:val="20"/>
        </w:rPr>
        <w:t>loss</w:t>
      </w:r>
      <w:r>
        <w:rPr>
          <w:spacing w:val="-1"/>
          <w:sz w:val="20"/>
        </w:rPr>
        <w:t> </w:t>
      </w:r>
      <w:r>
        <w:rPr>
          <w:sz w:val="20"/>
        </w:rPr>
        <w:t>caused</w:t>
      </w:r>
      <w:r>
        <w:rPr>
          <w:spacing w:val="-2"/>
          <w:sz w:val="20"/>
        </w:rPr>
        <w:t> </w:t>
      </w:r>
      <w:r>
        <w:rPr>
          <w:sz w:val="20"/>
        </w:rPr>
        <w:t>to</w:t>
      </w:r>
      <w:r>
        <w:rPr>
          <w:spacing w:val="-4"/>
          <w:sz w:val="20"/>
        </w:rPr>
        <w:t> </w:t>
      </w:r>
      <w:r>
        <w:rPr>
          <w:sz w:val="20"/>
        </w:rPr>
        <w:t>the</w:t>
      </w:r>
      <w:r>
        <w:rPr>
          <w:spacing w:val="-2"/>
          <w:sz w:val="20"/>
        </w:rPr>
        <w:t> </w:t>
      </w:r>
      <w:r>
        <w:rPr>
          <w:sz w:val="20"/>
        </w:rPr>
        <w:t>beneficial</w:t>
      </w:r>
      <w:r>
        <w:rPr>
          <w:spacing w:val="-4"/>
          <w:sz w:val="20"/>
        </w:rPr>
        <w:t> </w:t>
      </w:r>
      <w:r>
        <w:rPr>
          <w:sz w:val="20"/>
        </w:rPr>
        <w:t>owner</w:t>
      </w:r>
      <w:r>
        <w:rPr>
          <w:spacing w:val="-2"/>
          <w:sz w:val="20"/>
        </w:rPr>
        <w:t> </w:t>
      </w:r>
      <w:r>
        <w:rPr>
          <w:sz w:val="20"/>
        </w:rPr>
        <w:t>due</w:t>
      </w:r>
      <w:r>
        <w:rPr>
          <w:spacing w:val="-2"/>
          <w:sz w:val="20"/>
        </w:rPr>
        <w:t> </w:t>
      </w:r>
      <w:r>
        <w:rPr>
          <w:sz w:val="20"/>
        </w:rPr>
        <w:t>to</w:t>
      </w:r>
      <w:r>
        <w:rPr>
          <w:spacing w:val="-4"/>
          <w:sz w:val="20"/>
        </w:rPr>
        <w:t> </w:t>
      </w:r>
      <w:r>
        <w:rPr>
          <w:sz w:val="20"/>
        </w:rPr>
        <w:t>the negligence</w:t>
      </w:r>
      <w:r>
        <w:rPr>
          <w:spacing w:val="-4"/>
          <w:sz w:val="20"/>
        </w:rPr>
        <w:t> </w:t>
      </w:r>
      <w:r>
        <w:rPr>
          <w:sz w:val="20"/>
        </w:rPr>
        <w:t>of</w:t>
      </w:r>
      <w:r>
        <w:rPr>
          <w:spacing w:val="-5"/>
          <w:sz w:val="20"/>
        </w:rPr>
        <w:t> </w:t>
      </w:r>
      <w:r>
        <w:rPr>
          <w:sz w:val="20"/>
        </w:rPr>
        <w:t>the</w:t>
      </w:r>
      <w:r>
        <w:rPr>
          <w:spacing w:val="-2"/>
          <w:sz w:val="20"/>
        </w:rPr>
        <w:t> </w:t>
      </w:r>
      <w:r>
        <w:rPr>
          <w:sz w:val="20"/>
        </w:rPr>
        <w:t>depository</w:t>
      </w:r>
      <w:r>
        <w:rPr>
          <w:spacing w:val="-2"/>
          <w:sz w:val="20"/>
        </w:rPr>
        <w:t> </w:t>
      </w:r>
      <w:r>
        <w:rPr>
          <w:sz w:val="20"/>
        </w:rPr>
        <w:t>or the participant, the depository shall indemnify such beneficial owner.</w:t>
      </w:r>
    </w:p>
    <w:p>
      <w:pPr>
        <w:pStyle w:val="BodyText"/>
        <w:spacing w:before="37"/>
      </w:pPr>
    </w:p>
    <w:p>
      <w:pPr>
        <w:pStyle w:val="ListParagraph"/>
        <w:numPr>
          <w:ilvl w:val="1"/>
          <w:numId w:val="1"/>
        </w:numPr>
        <w:tabs>
          <w:tab w:pos="1767" w:val="left" w:leader="none"/>
          <w:tab w:pos="1770" w:val="left" w:leader="none"/>
        </w:tabs>
        <w:spacing w:line="276" w:lineRule="auto" w:before="0" w:after="0"/>
        <w:ind w:left="1770" w:right="324" w:hanging="361"/>
        <w:jc w:val="both"/>
        <w:rPr>
          <w:sz w:val="20"/>
        </w:rPr>
      </w:pPr>
      <w:r>
        <w:rPr>
          <w:sz w:val="20"/>
        </w:rPr>
        <w:t>Where</w:t>
      </w:r>
      <w:r>
        <w:rPr>
          <w:spacing w:val="-2"/>
          <w:sz w:val="20"/>
        </w:rPr>
        <w:t> </w:t>
      </w:r>
      <w:r>
        <w:rPr>
          <w:sz w:val="20"/>
        </w:rPr>
        <w:t>the</w:t>
      </w:r>
      <w:r>
        <w:rPr>
          <w:spacing w:val="-2"/>
          <w:sz w:val="20"/>
        </w:rPr>
        <w:t> </w:t>
      </w:r>
      <w:r>
        <w:rPr>
          <w:sz w:val="20"/>
        </w:rPr>
        <w:t>loss</w:t>
      </w:r>
      <w:r>
        <w:rPr>
          <w:spacing w:val="-3"/>
          <w:sz w:val="20"/>
        </w:rPr>
        <w:t> </w:t>
      </w:r>
      <w:r>
        <w:rPr>
          <w:sz w:val="20"/>
        </w:rPr>
        <w:t>due</w:t>
      </w:r>
      <w:r>
        <w:rPr>
          <w:spacing w:val="-2"/>
          <w:sz w:val="20"/>
        </w:rPr>
        <w:t> </w:t>
      </w:r>
      <w:r>
        <w:rPr>
          <w:sz w:val="20"/>
        </w:rPr>
        <w:t>to</w:t>
      </w:r>
      <w:r>
        <w:rPr>
          <w:spacing w:val="-2"/>
          <w:sz w:val="20"/>
        </w:rPr>
        <w:t> </w:t>
      </w:r>
      <w:r>
        <w:rPr>
          <w:sz w:val="20"/>
        </w:rPr>
        <w:t>the negligence</w:t>
      </w:r>
      <w:r>
        <w:rPr>
          <w:spacing w:val="-2"/>
          <w:sz w:val="20"/>
        </w:rPr>
        <w:t> </w:t>
      </w:r>
      <w:r>
        <w:rPr>
          <w:sz w:val="20"/>
        </w:rPr>
        <w:t>of</w:t>
      </w:r>
      <w:r>
        <w:rPr>
          <w:spacing w:val="-4"/>
          <w:sz w:val="20"/>
        </w:rPr>
        <w:t> </w:t>
      </w:r>
      <w:r>
        <w:rPr>
          <w:sz w:val="20"/>
        </w:rPr>
        <w:t>the</w:t>
      </w:r>
      <w:r>
        <w:rPr>
          <w:spacing w:val="-2"/>
          <w:sz w:val="20"/>
        </w:rPr>
        <w:t> </w:t>
      </w:r>
      <w:r>
        <w:rPr>
          <w:sz w:val="20"/>
        </w:rPr>
        <w:t>participant</w:t>
      </w:r>
      <w:r>
        <w:rPr>
          <w:spacing w:val="-4"/>
          <w:sz w:val="20"/>
        </w:rPr>
        <w:t> </w:t>
      </w:r>
      <w:r>
        <w:rPr>
          <w:sz w:val="20"/>
        </w:rPr>
        <w:t>under</w:t>
      </w:r>
      <w:r>
        <w:rPr>
          <w:spacing w:val="-2"/>
          <w:sz w:val="20"/>
        </w:rPr>
        <w:t> </w:t>
      </w:r>
      <w:r>
        <w:rPr>
          <w:sz w:val="20"/>
        </w:rPr>
        <w:t>Clause</w:t>
      </w:r>
      <w:r>
        <w:rPr>
          <w:spacing w:val="-2"/>
          <w:sz w:val="20"/>
        </w:rPr>
        <w:t> </w:t>
      </w:r>
      <w:r>
        <w:rPr>
          <w:sz w:val="20"/>
        </w:rPr>
        <w:t>(1)</w:t>
      </w:r>
      <w:r>
        <w:rPr>
          <w:spacing w:val="-2"/>
          <w:sz w:val="20"/>
        </w:rPr>
        <w:t> </w:t>
      </w:r>
      <w:r>
        <w:rPr>
          <w:sz w:val="20"/>
        </w:rPr>
        <w:t>above,</w:t>
      </w:r>
      <w:r>
        <w:rPr>
          <w:spacing w:val="-4"/>
          <w:sz w:val="20"/>
        </w:rPr>
        <w:t> </w:t>
      </w:r>
      <w:r>
        <w:rPr>
          <w:sz w:val="20"/>
        </w:rPr>
        <w:t>is indemnified by the depository, the depository shall have the right to recover the same from such participant.</w:t>
      </w:r>
    </w:p>
    <w:p>
      <w:pPr>
        <w:pStyle w:val="Heading1"/>
        <w:spacing w:before="201"/>
        <w:ind w:left="330"/>
      </w:pPr>
      <w:r>
        <w:rPr>
          <w:spacing w:val="-2"/>
        </w:rPr>
        <w:t>Freezing/</w:t>
      </w:r>
      <w:r>
        <w:rPr>
          <w:spacing w:val="-1"/>
        </w:rPr>
        <w:t> </w:t>
      </w:r>
      <w:r>
        <w:rPr>
          <w:spacing w:val="-2"/>
        </w:rPr>
        <w:t>Defreezing</w:t>
      </w:r>
      <w:r>
        <w:rPr>
          <w:spacing w:val="-1"/>
        </w:rPr>
        <w:t> </w:t>
      </w:r>
      <w:r>
        <w:rPr>
          <w:spacing w:val="-2"/>
        </w:rPr>
        <w:t>of</w:t>
      </w:r>
      <w:r>
        <w:rPr>
          <w:spacing w:val="-1"/>
        </w:rPr>
        <w:t> </w:t>
      </w:r>
      <w:r>
        <w:rPr>
          <w:spacing w:val="-2"/>
        </w:rPr>
        <w:t>accounts</w:t>
      </w:r>
    </w:p>
    <w:p>
      <w:pPr>
        <w:pStyle w:val="ListParagraph"/>
        <w:numPr>
          <w:ilvl w:val="0"/>
          <w:numId w:val="1"/>
        </w:numPr>
        <w:tabs>
          <w:tab w:pos="1047" w:val="left" w:leader="none"/>
          <w:tab w:pos="1050" w:val="left" w:leader="none"/>
        </w:tabs>
        <w:spacing w:line="276" w:lineRule="auto" w:before="237" w:after="0"/>
        <w:ind w:left="1050" w:right="321" w:hanging="360"/>
        <w:jc w:val="both"/>
        <w:rPr>
          <w:sz w:val="20"/>
        </w:rPr>
      </w:pPr>
      <w:r>
        <w:rPr>
          <w:sz w:val="20"/>
        </w:rPr>
        <w:t>The Beneficial Owner may exercise the right to freeze/defreeze his/her demat account maintained with the DP in accordance with the procedure and subject to the restrictions laid down under the Bye Laws and Business Rules/Operating Instructions.</w:t>
      </w:r>
    </w:p>
    <w:p>
      <w:pPr>
        <w:pStyle w:val="BodyText"/>
        <w:spacing w:before="34"/>
      </w:pPr>
    </w:p>
    <w:p>
      <w:pPr>
        <w:pStyle w:val="ListParagraph"/>
        <w:numPr>
          <w:ilvl w:val="0"/>
          <w:numId w:val="1"/>
        </w:numPr>
        <w:tabs>
          <w:tab w:pos="1047" w:val="left" w:leader="none"/>
          <w:tab w:pos="1050" w:val="left" w:leader="none"/>
        </w:tabs>
        <w:spacing w:line="276" w:lineRule="auto" w:before="0" w:after="0"/>
        <w:ind w:left="1050" w:right="323" w:hanging="360"/>
        <w:jc w:val="both"/>
        <w:rPr>
          <w:sz w:val="20"/>
        </w:rPr>
      </w:pPr>
      <w:r>
        <w:rPr>
          <w:sz w:val="20"/>
        </w:rPr>
        <w:t>The DP or the Depository shall have the right to freeze/defreeze the accounts of the Beneficial Owners on receipt of instructions received from any regulator or court or any statutory authority.</w:t>
      </w:r>
    </w:p>
    <w:p>
      <w:pPr>
        <w:pStyle w:val="BodyText"/>
        <w:spacing w:before="37"/>
      </w:pPr>
    </w:p>
    <w:p>
      <w:pPr>
        <w:pStyle w:val="Heading1"/>
        <w:numPr>
          <w:ilvl w:val="0"/>
          <w:numId w:val="1"/>
        </w:numPr>
        <w:tabs>
          <w:tab w:pos="1047" w:val="left" w:leader="none"/>
          <w:tab w:pos="1050" w:val="left" w:leader="none"/>
        </w:tabs>
        <w:spacing w:line="276" w:lineRule="auto" w:before="0" w:after="0"/>
        <w:ind w:left="1050" w:right="328" w:hanging="360"/>
        <w:jc w:val="both"/>
        <w:rPr>
          <w:b w:val="0"/>
        </w:rPr>
      </w:pPr>
      <w:r>
        <w:rPr>
          <w:position w:val="7"/>
          <w:sz w:val="13"/>
        </w:rPr>
        <w:t>$</w:t>
      </w:r>
      <w:r>
        <w:rPr/>
        <w:t>The</w:t>
      </w:r>
      <w:r>
        <w:rPr>
          <w:spacing w:val="-9"/>
        </w:rPr>
        <w:t> </w:t>
      </w:r>
      <w:r>
        <w:rPr/>
        <w:t>Joint</w:t>
      </w:r>
      <w:r>
        <w:rPr>
          <w:spacing w:val="-8"/>
        </w:rPr>
        <w:t> </w:t>
      </w:r>
      <w:r>
        <w:rPr/>
        <w:t>holders</w:t>
      </w:r>
      <w:r>
        <w:rPr>
          <w:spacing w:val="-9"/>
        </w:rPr>
        <w:t> </w:t>
      </w:r>
      <w:r>
        <w:rPr/>
        <w:t>are</w:t>
      </w:r>
      <w:r>
        <w:rPr>
          <w:spacing w:val="-11"/>
        </w:rPr>
        <w:t> </w:t>
      </w:r>
      <w:r>
        <w:rPr/>
        <w:t>aware</w:t>
      </w:r>
      <w:r>
        <w:rPr>
          <w:spacing w:val="-12"/>
        </w:rPr>
        <w:t> </w:t>
      </w:r>
      <w:r>
        <w:rPr/>
        <w:t>that</w:t>
      </w:r>
      <w:r>
        <w:rPr>
          <w:spacing w:val="-7"/>
        </w:rPr>
        <w:t> </w:t>
      </w:r>
      <w:r>
        <w:rPr/>
        <w:t>in</w:t>
      </w:r>
      <w:r>
        <w:rPr>
          <w:spacing w:val="-10"/>
        </w:rPr>
        <w:t> </w:t>
      </w:r>
      <w:r>
        <w:rPr/>
        <w:t>case</w:t>
      </w:r>
      <w:r>
        <w:rPr>
          <w:spacing w:val="-11"/>
        </w:rPr>
        <w:t> </w:t>
      </w:r>
      <w:r>
        <w:rPr/>
        <w:t>of</w:t>
      </w:r>
      <w:r>
        <w:rPr>
          <w:spacing w:val="-9"/>
        </w:rPr>
        <w:t> </w:t>
      </w:r>
      <w:r>
        <w:rPr/>
        <w:t>any</w:t>
      </w:r>
      <w:r>
        <w:rPr>
          <w:spacing w:val="-5"/>
        </w:rPr>
        <w:t> </w:t>
      </w:r>
      <w:r>
        <w:rPr/>
        <w:t>Statutory</w:t>
      </w:r>
      <w:r>
        <w:rPr>
          <w:spacing w:val="-10"/>
        </w:rPr>
        <w:t> </w:t>
      </w:r>
      <w:r>
        <w:rPr/>
        <w:t>Order</w:t>
      </w:r>
      <w:r>
        <w:rPr>
          <w:spacing w:val="-12"/>
        </w:rPr>
        <w:t> </w:t>
      </w:r>
      <w:r>
        <w:rPr/>
        <w:t>for</w:t>
      </w:r>
      <w:r>
        <w:rPr>
          <w:spacing w:val="-9"/>
        </w:rPr>
        <w:t> </w:t>
      </w:r>
      <w:r>
        <w:rPr/>
        <w:t>freezing</w:t>
      </w:r>
      <w:r>
        <w:rPr>
          <w:spacing w:val="-8"/>
        </w:rPr>
        <w:t> </w:t>
      </w:r>
      <w:r>
        <w:rPr/>
        <w:t>any one joint holder, the demat account will be frozen and the other joint holders will have to obtain a specific Order for unfreezing their percentage of joint ownership by submitting the relevant documentary proof to the Order issuing </w:t>
      </w:r>
      <w:r>
        <w:rPr>
          <w:spacing w:val="-2"/>
        </w:rPr>
        <w:t>authority</w:t>
      </w:r>
      <w:r>
        <w:rPr>
          <w:b w:val="0"/>
          <w:spacing w:val="-2"/>
        </w:rPr>
        <w:t>.</w:t>
      </w:r>
    </w:p>
    <w:p>
      <w:pPr>
        <w:spacing w:before="201"/>
        <w:ind w:left="330" w:right="0" w:firstLine="0"/>
        <w:jc w:val="left"/>
        <w:rPr>
          <w:b/>
          <w:sz w:val="20"/>
        </w:rPr>
      </w:pPr>
      <w:r>
        <w:rPr>
          <w:b/>
          <w:sz w:val="20"/>
        </w:rPr>
        <w:t>Redressal</w:t>
      </w:r>
      <w:r>
        <w:rPr>
          <w:b/>
          <w:spacing w:val="-13"/>
          <w:sz w:val="20"/>
        </w:rPr>
        <w:t> </w:t>
      </w:r>
      <w:r>
        <w:rPr>
          <w:b/>
          <w:sz w:val="20"/>
        </w:rPr>
        <w:t>of</w:t>
      </w:r>
      <w:r>
        <w:rPr>
          <w:b/>
          <w:spacing w:val="-14"/>
          <w:sz w:val="20"/>
        </w:rPr>
        <w:t> </w:t>
      </w:r>
      <w:r>
        <w:rPr>
          <w:b/>
          <w:sz w:val="20"/>
        </w:rPr>
        <w:t>Investor</w:t>
      </w:r>
      <w:r>
        <w:rPr>
          <w:b/>
          <w:spacing w:val="-15"/>
          <w:sz w:val="20"/>
        </w:rPr>
        <w:t> </w:t>
      </w:r>
      <w:r>
        <w:rPr>
          <w:b/>
          <w:spacing w:val="-2"/>
          <w:sz w:val="20"/>
        </w:rPr>
        <w:t>grievance</w:t>
      </w:r>
    </w:p>
    <w:p>
      <w:pPr>
        <w:pStyle w:val="ListParagraph"/>
        <w:numPr>
          <w:ilvl w:val="0"/>
          <w:numId w:val="1"/>
        </w:numPr>
        <w:tabs>
          <w:tab w:pos="1047" w:val="left" w:leader="none"/>
          <w:tab w:pos="1050" w:val="left" w:leader="none"/>
        </w:tabs>
        <w:spacing w:line="276" w:lineRule="auto" w:before="236" w:after="0"/>
        <w:ind w:left="1050" w:right="323" w:hanging="360"/>
        <w:jc w:val="both"/>
        <w:rPr>
          <w:sz w:val="20"/>
        </w:rPr>
      </w:pPr>
      <w:r>
        <w:rPr>
          <w:sz w:val="20"/>
        </w:rPr>
        <w:t>The DP shall redress all grievances of the Beneficial Owner against the DP within a period of thirty days from the date of receipt of the complaint.</w:t>
      </w:r>
    </w:p>
    <w:p>
      <w:pPr>
        <w:pStyle w:val="ListParagraph"/>
        <w:spacing w:after="0" w:line="276" w:lineRule="auto"/>
        <w:jc w:val="both"/>
        <w:rPr>
          <w:sz w:val="20"/>
        </w:rPr>
        <w:sectPr>
          <w:pgSz w:w="11910" w:h="16840"/>
          <w:pgMar w:header="717" w:footer="706" w:top="1020" w:bottom="900" w:left="1275" w:right="1275"/>
        </w:sectPr>
      </w:pPr>
    </w:p>
    <w:p>
      <w:pPr>
        <w:pStyle w:val="BodyText"/>
      </w:pPr>
    </w:p>
    <w:p>
      <w:pPr>
        <w:pStyle w:val="BodyText"/>
        <w:spacing w:before="128"/>
      </w:pPr>
    </w:p>
    <w:p>
      <w:pPr>
        <w:spacing w:line="240" w:lineRule="auto"/>
        <w:ind w:left="4165" w:right="0" w:firstLine="0"/>
        <w:rPr>
          <w:sz w:val="20"/>
        </w:rPr>
      </w:pPr>
      <w:r>
        <w:rPr>
          <w:sz w:val="20"/>
        </w:rPr>
        <w:drawing>
          <wp:inline distT="0" distB="0" distL="0" distR="0">
            <wp:extent cx="518306" cy="177355"/>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0" cstate="print"/>
                    <a:stretch>
                      <a:fillRect/>
                    </a:stretch>
                  </pic:blipFill>
                  <pic:spPr>
                    <a:xfrm>
                      <a:off x="0" y="0"/>
                      <a:ext cx="518306" cy="177355"/>
                    </a:xfrm>
                    <a:prstGeom prst="rect">
                      <a:avLst/>
                    </a:prstGeom>
                  </pic:spPr>
                </pic:pic>
              </a:graphicData>
            </a:graphic>
          </wp:inline>
        </w:drawing>
      </w:r>
      <w:r>
        <w:rPr>
          <w:sz w:val="20"/>
        </w:rPr>
      </w:r>
    </w:p>
    <w:p>
      <w:pPr>
        <w:pStyle w:val="Heading1"/>
        <w:spacing w:before="196"/>
        <w:ind w:left="330"/>
      </w:pPr>
      <w:r>
        <w:rPr>
          <w:spacing w:val="-2"/>
        </w:rPr>
        <w:t>Authorized</w:t>
      </w:r>
      <w:r>
        <w:rPr>
          <w:spacing w:val="-3"/>
        </w:rPr>
        <w:t> </w:t>
      </w:r>
      <w:r>
        <w:rPr>
          <w:spacing w:val="-2"/>
        </w:rPr>
        <w:t>representative</w:t>
      </w:r>
    </w:p>
    <w:p>
      <w:pPr>
        <w:pStyle w:val="BodyText"/>
        <w:spacing w:before="201"/>
        <w:rPr>
          <w:b/>
        </w:rPr>
      </w:pPr>
    </w:p>
    <w:p>
      <w:pPr>
        <w:pStyle w:val="ListParagraph"/>
        <w:numPr>
          <w:ilvl w:val="0"/>
          <w:numId w:val="1"/>
        </w:numPr>
        <w:tabs>
          <w:tab w:pos="1047" w:val="left" w:leader="none"/>
          <w:tab w:pos="1050" w:val="left" w:leader="none"/>
        </w:tabs>
        <w:spacing w:line="276" w:lineRule="auto" w:before="1" w:after="0"/>
        <w:ind w:left="1050" w:right="326" w:hanging="360"/>
        <w:jc w:val="both"/>
        <w:rPr>
          <w:sz w:val="20"/>
        </w:rPr>
      </w:pPr>
      <w:r>
        <w:rPr>
          <w:sz w:val="20"/>
        </w:rPr>
        <w:t>If</w:t>
      </w:r>
      <w:r>
        <w:rPr>
          <w:spacing w:val="-9"/>
          <w:sz w:val="20"/>
        </w:rPr>
        <w:t> </w:t>
      </w:r>
      <w:r>
        <w:rPr>
          <w:sz w:val="20"/>
        </w:rPr>
        <w:t>the</w:t>
      </w:r>
      <w:r>
        <w:rPr>
          <w:spacing w:val="-5"/>
          <w:sz w:val="20"/>
        </w:rPr>
        <w:t> </w:t>
      </w:r>
      <w:r>
        <w:rPr>
          <w:sz w:val="20"/>
        </w:rPr>
        <w:t>Beneficial</w:t>
      </w:r>
      <w:r>
        <w:rPr>
          <w:spacing w:val="-7"/>
          <w:sz w:val="20"/>
        </w:rPr>
        <w:t> </w:t>
      </w:r>
      <w:r>
        <w:rPr>
          <w:sz w:val="20"/>
        </w:rPr>
        <w:t>Owner</w:t>
      </w:r>
      <w:r>
        <w:rPr>
          <w:spacing w:val="-7"/>
          <w:sz w:val="20"/>
        </w:rPr>
        <w:t> </w:t>
      </w:r>
      <w:r>
        <w:rPr>
          <w:sz w:val="20"/>
        </w:rPr>
        <w:t>is</w:t>
      </w:r>
      <w:r>
        <w:rPr>
          <w:spacing w:val="-7"/>
          <w:sz w:val="20"/>
        </w:rPr>
        <w:t> </w:t>
      </w:r>
      <w:r>
        <w:rPr>
          <w:sz w:val="20"/>
        </w:rPr>
        <w:t>a</w:t>
      </w:r>
      <w:r>
        <w:rPr>
          <w:spacing w:val="-4"/>
          <w:sz w:val="20"/>
        </w:rPr>
        <w:t> </w:t>
      </w:r>
      <w:r>
        <w:rPr>
          <w:sz w:val="20"/>
        </w:rPr>
        <w:t>body</w:t>
      </w:r>
      <w:r>
        <w:rPr>
          <w:spacing w:val="-9"/>
          <w:sz w:val="20"/>
        </w:rPr>
        <w:t> </w:t>
      </w:r>
      <w:r>
        <w:rPr>
          <w:sz w:val="20"/>
        </w:rPr>
        <w:t>corporate</w:t>
      </w:r>
      <w:r>
        <w:rPr>
          <w:spacing w:val="-7"/>
          <w:sz w:val="20"/>
        </w:rPr>
        <w:t> </w:t>
      </w:r>
      <w:r>
        <w:rPr>
          <w:sz w:val="20"/>
        </w:rPr>
        <w:t>or</w:t>
      </w:r>
      <w:r>
        <w:rPr>
          <w:spacing w:val="-7"/>
          <w:sz w:val="20"/>
        </w:rPr>
        <w:t> </w:t>
      </w:r>
      <w:r>
        <w:rPr>
          <w:sz w:val="20"/>
        </w:rPr>
        <w:t>a</w:t>
      </w:r>
      <w:r>
        <w:rPr>
          <w:spacing w:val="-6"/>
          <w:sz w:val="20"/>
        </w:rPr>
        <w:t> </w:t>
      </w:r>
      <w:r>
        <w:rPr>
          <w:sz w:val="20"/>
        </w:rPr>
        <w:t>legal</w:t>
      </w:r>
      <w:r>
        <w:rPr>
          <w:spacing w:val="-7"/>
          <w:sz w:val="20"/>
        </w:rPr>
        <w:t> </w:t>
      </w:r>
      <w:r>
        <w:rPr>
          <w:sz w:val="20"/>
        </w:rPr>
        <w:t>entity,</w:t>
      </w:r>
      <w:r>
        <w:rPr>
          <w:spacing w:val="-8"/>
          <w:sz w:val="20"/>
        </w:rPr>
        <w:t> </w:t>
      </w:r>
      <w:r>
        <w:rPr>
          <w:sz w:val="20"/>
        </w:rPr>
        <w:t>it</w:t>
      </w:r>
      <w:r>
        <w:rPr>
          <w:spacing w:val="-6"/>
          <w:sz w:val="20"/>
        </w:rPr>
        <w:t> </w:t>
      </w:r>
      <w:r>
        <w:rPr>
          <w:sz w:val="20"/>
        </w:rPr>
        <w:t>shall,</w:t>
      </w:r>
      <w:r>
        <w:rPr>
          <w:spacing w:val="-8"/>
          <w:sz w:val="20"/>
        </w:rPr>
        <w:t> </w:t>
      </w:r>
      <w:r>
        <w:rPr>
          <w:sz w:val="20"/>
        </w:rPr>
        <w:t>along</w:t>
      </w:r>
      <w:r>
        <w:rPr>
          <w:spacing w:val="-8"/>
          <w:sz w:val="20"/>
        </w:rPr>
        <w:t> </w:t>
      </w:r>
      <w:r>
        <w:rPr>
          <w:sz w:val="20"/>
        </w:rPr>
        <w:t>with</w:t>
      </w:r>
      <w:r>
        <w:rPr>
          <w:spacing w:val="-7"/>
          <w:sz w:val="20"/>
        </w:rPr>
        <w:t> </w:t>
      </w:r>
      <w:r>
        <w:rPr>
          <w:sz w:val="20"/>
        </w:rPr>
        <w:t>the</w:t>
      </w:r>
      <w:r>
        <w:rPr>
          <w:spacing w:val="-5"/>
          <w:sz w:val="20"/>
        </w:rPr>
        <w:t> </w:t>
      </w:r>
      <w:r>
        <w:rPr>
          <w:sz w:val="20"/>
        </w:rPr>
        <w:t>account opening</w:t>
      </w:r>
      <w:r>
        <w:rPr>
          <w:spacing w:val="-2"/>
          <w:sz w:val="20"/>
        </w:rPr>
        <w:t> </w:t>
      </w:r>
      <w:r>
        <w:rPr>
          <w:sz w:val="20"/>
        </w:rPr>
        <w:t>form, furnish</w:t>
      </w:r>
      <w:r>
        <w:rPr>
          <w:spacing w:val="-5"/>
          <w:sz w:val="20"/>
        </w:rPr>
        <w:t> </w:t>
      </w:r>
      <w:r>
        <w:rPr>
          <w:sz w:val="20"/>
        </w:rPr>
        <w:t>to</w:t>
      </w:r>
      <w:r>
        <w:rPr>
          <w:spacing w:val="-1"/>
          <w:sz w:val="20"/>
        </w:rPr>
        <w:t> </w:t>
      </w:r>
      <w:r>
        <w:rPr>
          <w:sz w:val="20"/>
        </w:rPr>
        <w:t>the</w:t>
      </w:r>
      <w:r>
        <w:rPr>
          <w:spacing w:val="-4"/>
          <w:sz w:val="20"/>
        </w:rPr>
        <w:t> </w:t>
      </w:r>
      <w:r>
        <w:rPr>
          <w:sz w:val="20"/>
        </w:rPr>
        <w:t>DP,</w:t>
      </w:r>
      <w:r>
        <w:rPr>
          <w:spacing w:val="-4"/>
          <w:sz w:val="20"/>
        </w:rPr>
        <w:t> </w:t>
      </w:r>
      <w:r>
        <w:rPr>
          <w:sz w:val="20"/>
        </w:rPr>
        <w:t>a</w:t>
      </w:r>
      <w:r>
        <w:rPr>
          <w:spacing w:val="-3"/>
          <w:sz w:val="20"/>
        </w:rPr>
        <w:t> </w:t>
      </w:r>
      <w:r>
        <w:rPr>
          <w:sz w:val="20"/>
        </w:rPr>
        <w:t>list</w:t>
      </w:r>
      <w:r>
        <w:rPr>
          <w:spacing w:val="-1"/>
          <w:sz w:val="20"/>
        </w:rPr>
        <w:t> </w:t>
      </w:r>
      <w:r>
        <w:rPr>
          <w:sz w:val="20"/>
        </w:rPr>
        <w:t>of</w:t>
      </w:r>
      <w:r>
        <w:rPr>
          <w:spacing w:val="-2"/>
          <w:sz w:val="20"/>
        </w:rPr>
        <w:t> </w:t>
      </w:r>
      <w:r>
        <w:rPr>
          <w:sz w:val="20"/>
        </w:rPr>
        <w:t>officials</w:t>
      </w:r>
      <w:r>
        <w:rPr>
          <w:spacing w:val="-3"/>
          <w:sz w:val="20"/>
        </w:rPr>
        <w:t> </w:t>
      </w:r>
      <w:r>
        <w:rPr>
          <w:sz w:val="20"/>
        </w:rPr>
        <w:t>authorized</w:t>
      </w:r>
      <w:r>
        <w:rPr>
          <w:spacing w:val="-2"/>
          <w:sz w:val="20"/>
        </w:rPr>
        <w:t> </w:t>
      </w:r>
      <w:r>
        <w:rPr>
          <w:sz w:val="20"/>
        </w:rPr>
        <w:t>by</w:t>
      </w:r>
      <w:r>
        <w:rPr>
          <w:spacing w:val="-4"/>
          <w:sz w:val="20"/>
        </w:rPr>
        <w:t> </w:t>
      </w:r>
      <w:r>
        <w:rPr>
          <w:sz w:val="20"/>
        </w:rPr>
        <w:t>it,</w:t>
      </w:r>
      <w:r>
        <w:rPr>
          <w:spacing w:val="-1"/>
          <w:sz w:val="20"/>
        </w:rPr>
        <w:t> </w:t>
      </w:r>
      <w:r>
        <w:rPr>
          <w:sz w:val="20"/>
        </w:rPr>
        <w:t>who</w:t>
      </w:r>
      <w:r>
        <w:rPr>
          <w:spacing w:val="-2"/>
          <w:sz w:val="20"/>
        </w:rPr>
        <w:t> </w:t>
      </w:r>
      <w:r>
        <w:rPr>
          <w:sz w:val="20"/>
        </w:rPr>
        <w:t>shall</w:t>
      </w:r>
      <w:r>
        <w:rPr>
          <w:spacing w:val="-4"/>
          <w:sz w:val="20"/>
        </w:rPr>
        <w:t> </w:t>
      </w:r>
      <w:r>
        <w:rPr>
          <w:sz w:val="20"/>
        </w:rPr>
        <w:t>represent</w:t>
      </w:r>
      <w:r>
        <w:rPr>
          <w:spacing w:val="-3"/>
          <w:sz w:val="20"/>
        </w:rPr>
        <w:t> </w:t>
      </w:r>
      <w:r>
        <w:rPr>
          <w:sz w:val="20"/>
        </w:rPr>
        <w:t>and interact on its behalf with the Participant. Any change in such list including additions, deletions or alterations thereto shall be forthwith communicated to the Participant.</w:t>
      </w:r>
    </w:p>
    <w:p>
      <w:pPr>
        <w:pStyle w:val="Heading1"/>
        <w:spacing w:before="200"/>
        <w:ind w:left="330"/>
      </w:pPr>
      <w:r>
        <w:rPr/>
        <w:t>Law</w:t>
      </w:r>
      <w:r>
        <w:rPr>
          <w:spacing w:val="-11"/>
        </w:rPr>
        <w:t> </w:t>
      </w:r>
      <w:r>
        <w:rPr/>
        <w:t>and</w:t>
      </w:r>
      <w:r>
        <w:rPr>
          <w:spacing w:val="-10"/>
        </w:rPr>
        <w:t> </w:t>
      </w:r>
      <w:r>
        <w:rPr>
          <w:spacing w:val="-2"/>
        </w:rPr>
        <w:t>Jurisdiction</w:t>
      </w:r>
    </w:p>
    <w:p>
      <w:pPr>
        <w:pStyle w:val="ListParagraph"/>
        <w:numPr>
          <w:ilvl w:val="0"/>
          <w:numId w:val="1"/>
        </w:numPr>
        <w:tabs>
          <w:tab w:pos="1047" w:val="left" w:leader="none"/>
          <w:tab w:pos="1050" w:val="left" w:leader="none"/>
        </w:tabs>
        <w:spacing w:line="276" w:lineRule="auto" w:before="236" w:after="0"/>
        <w:ind w:left="1050" w:right="321" w:hanging="360"/>
        <w:jc w:val="both"/>
        <w:rPr>
          <w:sz w:val="20"/>
        </w:rPr>
      </w:pPr>
      <w:r>
        <w:rPr>
          <w:sz w:val="20"/>
        </w:rPr>
        <w:t>In</w:t>
      </w:r>
      <w:r>
        <w:rPr>
          <w:spacing w:val="-3"/>
          <w:sz w:val="20"/>
        </w:rPr>
        <w:t> </w:t>
      </w:r>
      <w:r>
        <w:rPr>
          <w:sz w:val="20"/>
        </w:rPr>
        <w:t>addition</w:t>
      </w:r>
      <w:r>
        <w:rPr>
          <w:spacing w:val="-3"/>
          <w:sz w:val="20"/>
        </w:rPr>
        <w:t> </w:t>
      </w:r>
      <w:r>
        <w:rPr>
          <w:sz w:val="20"/>
        </w:rPr>
        <w:t>to</w:t>
      </w:r>
      <w:r>
        <w:rPr>
          <w:spacing w:val="-3"/>
          <w:sz w:val="20"/>
        </w:rPr>
        <w:t> </w:t>
      </w:r>
      <w:r>
        <w:rPr>
          <w:sz w:val="20"/>
        </w:rPr>
        <w:t>the specific</w:t>
      </w:r>
      <w:r>
        <w:rPr>
          <w:spacing w:val="-3"/>
          <w:sz w:val="20"/>
        </w:rPr>
        <w:t> </w:t>
      </w:r>
      <w:r>
        <w:rPr>
          <w:sz w:val="20"/>
        </w:rPr>
        <w:t>rights</w:t>
      </w:r>
      <w:r>
        <w:rPr>
          <w:spacing w:val="-3"/>
          <w:sz w:val="20"/>
        </w:rPr>
        <w:t> </w:t>
      </w:r>
      <w:r>
        <w:rPr>
          <w:sz w:val="20"/>
        </w:rPr>
        <w:t>set</w:t>
      </w:r>
      <w:r>
        <w:rPr>
          <w:spacing w:val="-2"/>
          <w:sz w:val="20"/>
        </w:rPr>
        <w:t> </w:t>
      </w:r>
      <w:r>
        <w:rPr>
          <w:sz w:val="20"/>
        </w:rPr>
        <w:t>out</w:t>
      </w:r>
      <w:r>
        <w:rPr>
          <w:spacing w:val="-2"/>
          <w:sz w:val="20"/>
        </w:rPr>
        <w:t> </w:t>
      </w:r>
      <w:r>
        <w:rPr>
          <w:sz w:val="20"/>
        </w:rPr>
        <w:t>in</w:t>
      </w:r>
      <w:r>
        <w:rPr>
          <w:spacing w:val="-3"/>
          <w:sz w:val="20"/>
        </w:rPr>
        <w:t> </w:t>
      </w:r>
      <w:r>
        <w:rPr>
          <w:sz w:val="20"/>
        </w:rPr>
        <w:t>this</w:t>
      </w:r>
      <w:r>
        <w:rPr>
          <w:spacing w:val="-1"/>
          <w:sz w:val="20"/>
        </w:rPr>
        <w:t> </w:t>
      </w:r>
      <w:r>
        <w:rPr>
          <w:sz w:val="20"/>
        </w:rPr>
        <w:t>document,</w:t>
      </w:r>
      <w:r>
        <w:rPr>
          <w:spacing w:val="-3"/>
          <w:sz w:val="20"/>
        </w:rPr>
        <w:t> </w:t>
      </w:r>
      <w:r>
        <w:rPr>
          <w:sz w:val="20"/>
        </w:rPr>
        <w:t>the DP and</w:t>
      </w:r>
      <w:r>
        <w:rPr>
          <w:spacing w:val="-1"/>
          <w:sz w:val="20"/>
        </w:rPr>
        <w:t> </w:t>
      </w:r>
      <w:r>
        <w:rPr>
          <w:sz w:val="20"/>
        </w:rPr>
        <w:t>the Beneficial</w:t>
      </w:r>
      <w:r>
        <w:rPr>
          <w:spacing w:val="-3"/>
          <w:sz w:val="20"/>
        </w:rPr>
        <w:t> </w:t>
      </w:r>
      <w:r>
        <w:rPr>
          <w:sz w:val="20"/>
        </w:rPr>
        <w:t>owner shall</w:t>
      </w:r>
      <w:r>
        <w:rPr>
          <w:spacing w:val="-14"/>
          <w:sz w:val="20"/>
        </w:rPr>
        <w:t> </w:t>
      </w:r>
      <w:r>
        <w:rPr>
          <w:sz w:val="20"/>
        </w:rPr>
        <w:t>be</w:t>
      </w:r>
      <w:r>
        <w:rPr>
          <w:spacing w:val="-12"/>
          <w:sz w:val="20"/>
        </w:rPr>
        <w:t> </w:t>
      </w:r>
      <w:r>
        <w:rPr>
          <w:sz w:val="20"/>
        </w:rPr>
        <w:t>entitled</w:t>
      </w:r>
      <w:r>
        <w:rPr>
          <w:spacing w:val="-11"/>
          <w:sz w:val="20"/>
        </w:rPr>
        <w:t> </w:t>
      </w:r>
      <w:r>
        <w:rPr>
          <w:sz w:val="20"/>
        </w:rPr>
        <w:t>to</w:t>
      </w:r>
      <w:r>
        <w:rPr>
          <w:spacing w:val="-16"/>
          <w:sz w:val="20"/>
        </w:rPr>
        <w:t> </w:t>
      </w:r>
      <w:r>
        <w:rPr>
          <w:sz w:val="20"/>
        </w:rPr>
        <w:t>exercise</w:t>
      </w:r>
      <w:r>
        <w:rPr>
          <w:spacing w:val="-12"/>
          <w:sz w:val="20"/>
        </w:rPr>
        <w:t> </w:t>
      </w:r>
      <w:r>
        <w:rPr>
          <w:sz w:val="20"/>
        </w:rPr>
        <w:t>any</w:t>
      </w:r>
      <w:r>
        <w:rPr>
          <w:spacing w:val="-14"/>
          <w:sz w:val="20"/>
        </w:rPr>
        <w:t> </w:t>
      </w:r>
      <w:r>
        <w:rPr>
          <w:sz w:val="20"/>
        </w:rPr>
        <w:t>other</w:t>
      </w:r>
      <w:r>
        <w:rPr>
          <w:spacing w:val="-12"/>
          <w:sz w:val="20"/>
        </w:rPr>
        <w:t> </w:t>
      </w:r>
      <w:r>
        <w:rPr>
          <w:sz w:val="20"/>
        </w:rPr>
        <w:t>rights</w:t>
      </w:r>
      <w:r>
        <w:rPr>
          <w:spacing w:val="-14"/>
          <w:sz w:val="20"/>
        </w:rPr>
        <w:t> </w:t>
      </w:r>
      <w:r>
        <w:rPr>
          <w:sz w:val="20"/>
        </w:rPr>
        <w:t>which</w:t>
      </w:r>
      <w:r>
        <w:rPr>
          <w:spacing w:val="-16"/>
          <w:sz w:val="20"/>
        </w:rPr>
        <w:t> </w:t>
      </w:r>
      <w:r>
        <w:rPr>
          <w:sz w:val="20"/>
        </w:rPr>
        <w:t>the</w:t>
      </w:r>
      <w:r>
        <w:rPr>
          <w:spacing w:val="-12"/>
          <w:sz w:val="20"/>
        </w:rPr>
        <w:t> </w:t>
      </w:r>
      <w:r>
        <w:rPr>
          <w:sz w:val="20"/>
        </w:rPr>
        <w:t>DP</w:t>
      </w:r>
      <w:r>
        <w:rPr>
          <w:spacing w:val="-12"/>
          <w:sz w:val="20"/>
        </w:rPr>
        <w:t> </w:t>
      </w:r>
      <w:r>
        <w:rPr>
          <w:sz w:val="20"/>
        </w:rPr>
        <w:t>or</w:t>
      </w:r>
      <w:r>
        <w:rPr>
          <w:spacing w:val="-12"/>
          <w:sz w:val="20"/>
        </w:rPr>
        <w:t> </w:t>
      </w:r>
      <w:r>
        <w:rPr>
          <w:sz w:val="20"/>
        </w:rPr>
        <w:t>the</w:t>
      </w:r>
      <w:r>
        <w:rPr>
          <w:spacing w:val="-12"/>
          <w:sz w:val="20"/>
        </w:rPr>
        <w:t> </w:t>
      </w:r>
      <w:r>
        <w:rPr>
          <w:sz w:val="20"/>
        </w:rPr>
        <w:t>Beneficial</w:t>
      </w:r>
      <w:r>
        <w:rPr>
          <w:spacing w:val="-12"/>
          <w:sz w:val="20"/>
        </w:rPr>
        <w:t> </w:t>
      </w:r>
      <w:r>
        <w:rPr>
          <w:sz w:val="20"/>
        </w:rPr>
        <w:t>Owner</w:t>
      </w:r>
      <w:r>
        <w:rPr>
          <w:spacing w:val="-12"/>
          <w:sz w:val="20"/>
        </w:rPr>
        <w:t> </w:t>
      </w:r>
      <w:r>
        <w:rPr>
          <w:sz w:val="20"/>
        </w:rPr>
        <w:t>may</w:t>
      </w:r>
      <w:r>
        <w:rPr>
          <w:spacing w:val="-14"/>
          <w:sz w:val="20"/>
        </w:rPr>
        <w:t> </w:t>
      </w:r>
      <w:r>
        <w:rPr>
          <w:sz w:val="20"/>
        </w:rPr>
        <w:t>have under</w:t>
      </w:r>
      <w:r>
        <w:rPr>
          <w:spacing w:val="-11"/>
          <w:sz w:val="20"/>
        </w:rPr>
        <w:t> </w:t>
      </w:r>
      <w:r>
        <w:rPr>
          <w:sz w:val="20"/>
        </w:rPr>
        <w:t>the</w:t>
      </w:r>
      <w:r>
        <w:rPr>
          <w:spacing w:val="-12"/>
          <w:sz w:val="20"/>
        </w:rPr>
        <w:t> </w:t>
      </w:r>
      <w:r>
        <w:rPr>
          <w:sz w:val="20"/>
        </w:rPr>
        <w:t>Rules,</w:t>
      </w:r>
      <w:r>
        <w:rPr>
          <w:spacing w:val="-12"/>
          <w:sz w:val="20"/>
        </w:rPr>
        <w:t> </w:t>
      </w:r>
      <w:r>
        <w:rPr>
          <w:sz w:val="20"/>
        </w:rPr>
        <w:t>Bye</w:t>
      </w:r>
      <w:r>
        <w:rPr>
          <w:spacing w:val="-10"/>
          <w:sz w:val="20"/>
        </w:rPr>
        <w:t> </w:t>
      </w:r>
      <w:r>
        <w:rPr>
          <w:sz w:val="20"/>
        </w:rPr>
        <w:t>Laws</w:t>
      </w:r>
      <w:r>
        <w:rPr>
          <w:spacing w:val="-13"/>
          <w:sz w:val="20"/>
        </w:rPr>
        <w:t> </w:t>
      </w:r>
      <w:r>
        <w:rPr>
          <w:sz w:val="20"/>
        </w:rPr>
        <w:t>and</w:t>
      </w:r>
      <w:r>
        <w:rPr>
          <w:spacing w:val="-11"/>
          <w:sz w:val="20"/>
        </w:rPr>
        <w:t> </w:t>
      </w:r>
      <w:r>
        <w:rPr>
          <w:sz w:val="20"/>
        </w:rPr>
        <w:t>Regulations</w:t>
      </w:r>
      <w:r>
        <w:rPr>
          <w:spacing w:val="-12"/>
          <w:sz w:val="20"/>
        </w:rPr>
        <w:t> </w:t>
      </w:r>
      <w:r>
        <w:rPr>
          <w:sz w:val="20"/>
        </w:rPr>
        <w:t>of</w:t>
      </w:r>
      <w:r>
        <w:rPr>
          <w:spacing w:val="-16"/>
          <w:sz w:val="20"/>
        </w:rPr>
        <w:t> </w:t>
      </w:r>
      <w:r>
        <w:rPr>
          <w:sz w:val="20"/>
        </w:rPr>
        <w:t>the</w:t>
      </w:r>
      <w:r>
        <w:rPr>
          <w:spacing w:val="-12"/>
          <w:sz w:val="20"/>
        </w:rPr>
        <w:t> </w:t>
      </w:r>
      <w:r>
        <w:rPr>
          <w:sz w:val="20"/>
        </w:rPr>
        <w:t>respective</w:t>
      </w:r>
      <w:r>
        <w:rPr>
          <w:spacing w:val="-10"/>
          <w:sz w:val="20"/>
        </w:rPr>
        <w:t> </w:t>
      </w:r>
      <w:r>
        <w:rPr>
          <w:sz w:val="20"/>
        </w:rPr>
        <w:t>Depository</w:t>
      </w:r>
      <w:r>
        <w:rPr>
          <w:spacing w:val="-16"/>
          <w:sz w:val="20"/>
        </w:rPr>
        <w:t> </w:t>
      </w:r>
      <w:r>
        <w:rPr>
          <w:sz w:val="20"/>
        </w:rPr>
        <w:t>in</w:t>
      </w:r>
      <w:r>
        <w:rPr>
          <w:spacing w:val="-16"/>
          <w:sz w:val="20"/>
        </w:rPr>
        <w:t> </w:t>
      </w:r>
      <w:r>
        <w:rPr>
          <w:sz w:val="20"/>
        </w:rPr>
        <w:t>which</w:t>
      </w:r>
      <w:r>
        <w:rPr>
          <w:spacing w:val="-12"/>
          <w:sz w:val="20"/>
        </w:rPr>
        <w:t> </w:t>
      </w:r>
      <w:r>
        <w:rPr>
          <w:sz w:val="20"/>
        </w:rPr>
        <w:t>the</w:t>
      </w:r>
      <w:r>
        <w:rPr>
          <w:spacing w:val="-10"/>
          <w:sz w:val="20"/>
        </w:rPr>
        <w:t> </w:t>
      </w:r>
      <w:r>
        <w:rPr>
          <w:sz w:val="20"/>
        </w:rPr>
        <w:t>demat account is opened and circulars/notices issued there under or Rules and Regulations of </w:t>
      </w:r>
      <w:r>
        <w:rPr>
          <w:spacing w:val="-4"/>
          <w:sz w:val="20"/>
        </w:rPr>
        <w:t>SEBI.</w:t>
      </w:r>
    </w:p>
    <w:p>
      <w:pPr>
        <w:pStyle w:val="BodyText"/>
        <w:spacing w:before="36"/>
      </w:pPr>
    </w:p>
    <w:p>
      <w:pPr>
        <w:pStyle w:val="ListParagraph"/>
        <w:numPr>
          <w:ilvl w:val="0"/>
          <w:numId w:val="1"/>
        </w:numPr>
        <w:tabs>
          <w:tab w:pos="1047" w:val="left" w:leader="none"/>
          <w:tab w:pos="1050" w:val="left" w:leader="none"/>
        </w:tabs>
        <w:spacing w:line="276" w:lineRule="auto" w:before="0" w:after="0"/>
        <w:ind w:left="1050" w:right="324" w:hanging="360"/>
        <w:jc w:val="both"/>
        <w:rPr>
          <w:sz w:val="20"/>
        </w:rPr>
      </w:pPr>
      <w:r>
        <w:rPr>
          <w:sz w:val="20"/>
        </w:rPr>
        <w:t>The provisions of this document shall always be subject to Government notification, any rules, regulations, guidelines and circulars/ notices issued by SEBI and Rules, Regulations and Bye- laws of the relevant Depository, where the Beneficial Owner maintains his/ her account, that may be in force from time to time.</w:t>
      </w:r>
    </w:p>
    <w:p>
      <w:pPr>
        <w:pStyle w:val="BodyText"/>
        <w:spacing w:before="37"/>
      </w:pPr>
    </w:p>
    <w:p>
      <w:pPr>
        <w:pStyle w:val="ListParagraph"/>
        <w:numPr>
          <w:ilvl w:val="0"/>
          <w:numId w:val="1"/>
        </w:numPr>
        <w:tabs>
          <w:tab w:pos="1047" w:val="left" w:leader="none"/>
          <w:tab w:pos="1050" w:val="left" w:leader="none"/>
        </w:tabs>
        <w:spacing w:line="276" w:lineRule="auto" w:before="1" w:after="0"/>
        <w:ind w:left="1050" w:right="324" w:hanging="360"/>
        <w:jc w:val="both"/>
        <w:rPr>
          <w:sz w:val="20"/>
        </w:rPr>
      </w:pPr>
      <w:r>
        <w:rPr>
          <w:sz w:val="20"/>
        </w:rPr>
        <w:t>The Beneficial Owner and the DP shall abide by the arbitration and conciliation procedure prescribed</w:t>
      </w:r>
      <w:r>
        <w:rPr>
          <w:spacing w:val="-16"/>
          <w:sz w:val="20"/>
        </w:rPr>
        <w:t> </w:t>
      </w:r>
      <w:r>
        <w:rPr>
          <w:sz w:val="20"/>
        </w:rPr>
        <w:t>under</w:t>
      </w:r>
      <w:r>
        <w:rPr>
          <w:spacing w:val="-16"/>
          <w:sz w:val="20"/>
        </w:rPr>
        <w:t> </w:t>
      </w:r>
      <w:r>
        <w:rPr>
          <w:sz w:val="20"/>
        </w:rPr>
        <w:t>the</w:t>
      </w:r>
      <w:r>
        <w:rPr>
          <w:spacing w:val="-15"/>
          <w:sz w:val="20"/>
        </w:rPr>
        <w:t> </w:t>
      </w:r>
      <w:r>
        <w:rPr>
          <w:sz w:val="20"/>
        </w:rPr>
        <w:t>Bye-laws</w:t>
      </w:r>
      <w:r>
        <w:rPr>
          <w:spacing w:val="-16"/>
          <w:sz w:val="20"/>
        </w:rPr>
        <w:t> </w:t>
      </w:r>
      <w:r>
        <w:rPr>
          <w:sz w:val="20"/>
        </w:rPr>
        <w:t>of</w:t>
      </w:r>
      <w:r>
        <w:rPr>
          <w:spacing w:val="-16"/>
          <w:sz w:val="20"/>
        </w:rPr>
        <w:t> </w:t>
      </w:r>
      <w:r>
        <w:rPr>
          <w:sz w:val="20"/>
        </w:rPr>
        <w:t>the</w:t>
      </w:r>
      <w:r>
        <w:rPr>
          <w:spacing w:val="-15"/>
          <w:sz w:val="20"/>
        </w:rPr>
        <w:t> </w:t>
      </w:r>
      <w:r>
        <w:rPr>
          <w:sz w:val="20"/>
        </w:rPr>
        <w:t>depository</w:t>
      </w:r>
      <w:r>
        <w:rPr>
          <w:spacing w:val="-15"/>
          <w:sz w:val="20"/>
        </w:rPr>
        <w:t> </w:t>
      </w:r>
      <w:r>
        <w:rPr>
          <w:sz w:val="20"/>
        </w:rPr>
        <w:t>and</w:t>
      </w:r>
      <w:r>
        <w:rPr>
          <w:spacing w:val="-16"/>
          <w:sz w:val="20"/>
        </w:rPr>
        <w:t> </w:t>
      </w:r>
      <w:r>
        <w:rPr>
          <w:sz w:val="20"/>
        </w:rPr>
        <w:t>that</w:t>
      </w:r>
      <w:r>
        <w:rPr>
          <w:spacing w:val="-16"/>
          <w:sz w:val="20"/>
        </w:rPr>
        <w:t> </w:t>
      </w:r>
      <w:r>
        <w:rPr>
          <w:sz w:val="20"/>
        </w:rPr>
        <w:t>such</w:t>
      </w:r>
      <w:r>
        <w:rPr>
          <w:spacing w:val="-15"/>
          <w:sz w:val="20"/>
        </w:rPr>
        <w:t> </w:t>
      </w:r>
      <w:r>
        <w:rPr>
          <w:sz w:val="20"/>
        </w:rPr>
        <w:t>procedure</w:t>
      </w:r>
      <w:r>
        <w:rPr>
          <w:spacing w:val="-14"/>
          <w:sz w:val="20"/>
        </w:rPr>
        <w:t> </w:t>
      </w:r>
      <w:r>
        <w:rPr>
          <w:sz w:val="20"/>
        </w:rPr>
        <w:t>shall</w:t>
      </w:r>
      <w:r>
        <w:rPr>
          <w:spacing w:val="-10"/>
          <w:sz w:val="20"/>
        </w:rPr>
        <w:t> </w:t>
      </w:r>
      <w:r>
        <w:rPr>
          <w:sz w:val="20"/>
        </w:rPr>
        <w:t>be</w:t>
      </w:r>
      <w:r>
        <w:rPr>
          <w:spacing w:val="-12"/>
          <w:sz w:val="20"/>
        </w:rPr>
        <w:t> </w:t>
      </w:r>
      <w:r>
        <w:rPr>
          <w:sz w:val="20"/>
        </w:rPr>
        <w:t>applicable to any disputes between the DP and the Beneficial Owner.</w:t>
      </w:r>
    </w:p>
    <w:p>
      <w:pPr>
        <w:pStyle w:val="BodyText"/>
        <w:spacing w:before="34"/>
      </w:pPr>
    </w:p>
    <w:p>
      <w:pPr>
        <w:pStyle w:val="ListParagraph"/>
        <w:numPr>
          <w:ilvl w:val="0"/>
          <w:numId w:val="1"/>
        </w:numPr>
        <w:tabs>
          <w:tab w:pos="1047" w:val="left" w:leader="none"/>
          <w:tab w:pos="1050" w:val="left" w:leader="none"/>
        </w:tabs>
        <w:spacing w:line="276" w:lineRule="auto" w:before="0" w:after="0"/>
        <w:ind w:left="1050" w:right="323" w:hanging="360"/>
        <w:jc w:val="both"/>
        <w:rPr>
          <w:sz w:val="20"/>
        </w:rPr>
      </w:pPr>
      <w:r>
        <w:rPr>
          <w:sz w:val="20"/>
        </w:rPr>
        <w:t>Words and expressions which</w:t>
      </w:r>
      <w:r>
        <w:rPr>
          <w:spacing w:val="-4"/>
          <w:sz w:val="20"/>
        </w:rPr>
        <w:t> </w:t>
      </w:r>
      <w:r>
        <w:rPr>
          <w:sz w:val="20"/>
        </w:rPr>
        <w:t>are used in this document but which are not defined herein shall unless the context otherwise requires, have the same meanings as assigned thereto in the Rules, Bye-laws and Regulations and circulars/notices issued there under by the depository</w:t>
      </w:r>
      <w:r>
        <w:rPr>
          <w:spacing w:val="-8"/>
          <w:sz w:val="20"/>
        </w:rPr>
        <w:t> </w:t>
      </w:r>
      <w:r>
        <w:rPr>
          <w:sz w:val="20"/>
        </w:rPr>
        <w:t>and</w:t>
      </w:r>
    </w:p>
    <w:p>
      <w:pPr>
        <w:pStyle w:val="BodyText"/>
        <w:spacing w:line="240" w:lineRule="exact"/>
        <w:ind w:left="1050"/>
      </w:pPr>
      <w:r>
        <w:rPr/>
        <w:t>/or</w:t>
      </w:r>
      <w:r>
        <w:rPr>
          <w:spacing w:val="-9"/>
        </w:rPr>
        <w:t> </w:t>
      </w:r>
      <w:r>
        <w:rPr>
          <w:spacing w:val="-4"/>
        </w:rPr>
        <w:t>SEBI</w:t>
      </w:r>
    </w:p>
    <w:p>
      <w:pPr>
        <w:pStyle w:val="BodyText"/>
        <w:spacing w:before="76"/>
      </w:pPr>
    </w:p>
    <w:p>
      <w:pPr>
        <w:pStyle w:val="ListParagraph"/>
        <w:numPr>
          <w:ilvl w:val="0"/>
          <w:numId w:val="1"/>
        </w:numPr>
        <w:tabs>
          <w:tab w:pos="1047" w:val="left" w:leader="none"/>
          <w:tab w:pos="1050" w:val="left" w:leader="none"/>
        </w:tabs>
        <w:spacing w:line="273" w:lineRule="auto" w:before="0" w:after="0"/>
        <w:ind w:left="1050" w:right="324" w:hanging="360"/>
        <w:jc w:val="both"/>
        <w:rPr>
          <w:sz w:val="20"/>
        </w:rPr>
      </w:pPr>
      <w:r>
        <w:rPr>
          <w:sz w:val="20"/>
        </w:rPr>
        <w:t>Any changes in the rights and obligations which are specified by SEBI/Depositories shall also be brought to the notice of the clients at once.</w:t>
      </w:r>
    </w:p>
    <w:p>
      <w:pPr>
        <w:pStyle w:val="BodyText"/>
        <w:spacing w:before="41"/>
      </w:pPr>
    </w:p>
    <w:p>
      <w:pPr>
        <w:pStyle w:val="ListParagraph"/>
        <w:numPr>
          <w:ilvl w:val="0"/>
          <w:numId w:val="1"/>
        </w:numPr>
        <w:tabs>
          <w:tab w:pos="1047" w:val="left" w:leader="none"/>
          <w:tab w:pos="1050" w:val="left" w:leader="none"/>
        </w:tabs>
        <w:spacing w:line="276" w:lineRule="auto" w:before="0" w:after="0"/>
        <w:ind w:left="1050" w:right="319" w:hanging="360"/>
        <w:jc w:val="both"/>
        <w:rPr>
          <w:sz w:val="20"/>
        </w:rPr>
      </w:pPr>
      <w:r>
        <w:rPr>
          <w:sz w:val="20"/>
        </w:rPr>
        <w:t>If the rights and obligations of the parties hereto are altered by virtue of change in Rules and regulations of SEBI or Bye-laws, Rules and Regulations of the relevant Depository, where the Beneficial Owner maintains his/her account, such changes shall be deemed to have been incorporated herein in modification of the rights and obligations of the parties mentioned in this document.</w:t>
      </w:r>
    </w:p>
    <w:p>
      <w:pPr>
        <w:pStyle w:val="BodyText"/>
        <w:spacing w:before="36"/>
      </w:pPr>
    </w:p>
    <w:p>
      <w:pPr>
        <w:pStyle w:val="Heading1"/>
        <w:spacing w:before="1"/>
        <w:ind w:left="1050"/>
      </w:pPr>
      <w:r>
        <w:rPr>
          <w:spacing w:val="-2"/>
        </w:rPr>
        <w:t>$Refer</w:t>
      </w:r>
      <w:r>
        <w:rPr>
          <w:spacing w:val="-4"/>
        </w:rPr>
        <w:t> </w:t>
      </w:r>
      <w:r>
        <w:rPr>
          <w:spacing w:val="-2"/>
        </w:rPr>
        <w:t>Communique</w:t>
      </w:r>
      <w:r>
        <w:rPr>
          <w:spacing w:val="-4"/>
        </w:rPr>
        <w:t> </w:t>
      </w:r>
      <w:r>
        <w:rPr>
          <w:spacing w:val="-2"/>
        </w:rPr>
        <w:t>no.</w:t>
      </w:r>
      <w:r>
        <w:rPr>
          <w:spacing w:val="2"/>
        </w:rPr>
        <w:t> </w:t>
      </w:r>
      <w:r>
        <w:rPr>
          <w:spacing w:val="-2"/>
        </w:rPr>
        <w:t>CDSL/OPS/DP/POLCY/2026/213</w:t>
      </w:r>
      <w:r>
        <w:rPr>
          <w:spacing w:val="1"/>
        </w:rPr>
        <w:t> </w:t>
      </w:r>
      <w:r>
        <w:rPr>
          <w:spacing w:val="-2"/>
        </w:rPr>
        <w:t>dated</w:t>
      </w:r>
      <w:r>
        <w:rPr>
          <w:spacing w:val="-4"/>
        </w:rPr>
        <w:t> </w:t>
      </w:r>
      <w:r>
        <w:rPr>
          <w:spacing w:val="-2"/>
        </w:rPr>
        <w:t>March</w:t>
      </w:r>
      <w:r>
        <w:rPr>
          <w:spacing w:val="-1"/>
        </w:rPr>
        <w:t> </w:t>
      </w:r>
      <w:r>
        <w:rPr>
          <w:spacing w:val="-2"/>
        </w:rPr>
        <w:t>25,</w:t>
      </w:r>
      <w:r>
        <w:rPr>
          <w:spacing w:val="-5"/>
        </w:rPr>
        <w:t> </w:t>
      </w:r>
      <w:r>
        <w:rPr>
          <w:spacing w:val="-4"/>
        </w:rPr>
        <w:t>2026</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67"/>
        <w:rPr>
          <w:b/>
        </w:rPr>
      </w:pPr>
      <w:r>
        <w:rPr>
          <w:b/>
        </w:rPr>
        <w:drawing>
          <wp:anchor distT="0" distB="0" distL="0" distR="0" allowOverlap="1" layoutInCell="1" locked="0" behindDoc="1" simplePos="0" relativeHeight="487588864">
            <wp:simplePos x="0" y="0"/>
            <wp:positionH relativeFrom="page">
              <wp:posOffset>3454908</wp:posOffset>
            </wp:positionH>
            <wp:positionV relativeFrom="paragraph">
              <wp:posOffset>274638</wp:posOffset>
            </wp:positionV>
            <wp:extent cx="514965" cy="176212"/>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1" cstate="print"/>
                    <a:stretch>
                      <a:fillRect/>
                    </a:stretch>
                  </pic:blipFill>
                  <pic:spPr>
                    <a:xfrm>
                      <a:off x="0" y="0"/>
                      <a:ext cx="514965" cy="176212"/>
                    </a:xfrm>
                    <a:prstGeom prst="rect">
                      <a:avLst/>
                    </a:prstGeom>
                  </pic:spPr>
                </pic:pic>
              </a:graphicData>
            </a:graphic>
          </wp:anchor>
        </w:drawing>
      </w:r>
    </w:p>
    <w:sectPr>
      <w:pgSz w:w="11910" w:h="16840"/>
      <w:pgMar w:header="717" w:footer="706" w:top="1020" w:bottom="90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03872">
              <wp:simplePos x="0" y="0"/>
              <wp:positionH relativeFrom="page">
                <wp:posOffset>901700</wp:posOffset>
              </wp:positionH>
              <wp:positionV relativeFrom="page">
                <wp:posOffset>9899329</wp:posOffset>
              </wp:positionV>
              <wp:extent cx="2670175" cy="1784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70175" cy="178435"/>
                      </a:xfrm>
                      <a:prstGeom prst="rect">
                        <a:avLst/>
                      </a:prstGeom>
                    </wps:spPr>
                    <wps:txbx>
                      <w:txbxContent>
                        <w:p>
                          <w:pPr>
                            <w:pStyle w:val="BodyText"/>
                            <w:spacing w:before="19"/>
                            <w:ind w:left="20"/>
                          </w:pPr>
                          <w:r>
                            <w:rPr/>
                            <w:t>CDSL</w:t>
                          </w:r>
                          <w:r>
                            <w:rPr>
                              <w:spacing w:val="-9"/>
                            </w:rPr>
                            <w:t> </w:t>
                          </w:r>
                          <w:r>
                            <w:rPr/>
                            <w:t>-</w:t>
                          </w:r>
                          <w:r>
                            <w:rPr>
                              <w:spacing w:val="-11"/>
                            </w:rPr>
                            <w:t> </w:t>
                          </w:r>
                          <w:r>
                            <w:rPr/>
                            <w:t>DP</w:t>
                          </w:r>
                          <w:r>
                            <w:rPr>
                              <w:spacing w:val="-10"/>
                            </w:rPr>
                            <w:t> </w:t>
                          </w:r>
                          <w:r>
                            <w:rPr/>
                            <w:t>Operating</w:t>
                          </w:r>
                          <w:r>
                            <w:rPr>
                              <w:spacing w:val="-7"/>
                            </w:rPr>
                            <w:t> </w:t>
                          </w:r>
                          <w:r>
                            <w:rPr/>
                            <w:t>Instructions</w:t>
                          </w:r>
                          <w:r>
                            <w:rPr>
                              <w:spacing w:val="-5"/>
                            </w:rPr>
                            <w:t> </w:t>
                          </w:r>
                          <w:r>
                            <w:rPr/>
                            <w:t>–</w:t>
                          </w:r>
                          <w:r>
                            <w:rPr>
                              <w:spacing w:val="-12"/>
                            </w:rPr>
                            <w:t> </w:t>
                          </w:r>
                          <w:r>
                            <w:rPr/>
                            <w:t>March</w:t>
                          </w:r>
                          <w:r>
                            <w:rPr>
                              <w:spacing w:val="-12"/>
                            </w:rPr>
                            <w:t> </w:t>
                          </w:r>
                          <w:r>
                            <w:rPr>
                              <w:spacing w:val="-4"/>
                            </w:rPr>
                            <w:t>2026</w:t>
                          </w:r>
                        </w:p>
                      </w:txbxContent>
                    </wps:txbx>
                    <wps:bodyPr wrap="square" lIns="0" tIns="0" rIns="0" bIns="0" rtlCol="0">
                      <a:noAutofit/>
                    </wps:bodyPr>
                  </wps:wsp>
                </a:graphicData>
              </a:graphic>
            </wp:anchor>
          </w:drawing>
        </mc:Choice>
        <mc:Fallback>
          <w:pict>
            <v:shape style="position:absolute;margin-left:71pt;margin-top:779.474792pt;width:210.25pt;height:14.05pt;mso-position-horizontal-relative:page;mso-position-vertical-relative:page;z-index:-15812608" type="#_x0000_t202" id="docshape3" filled="false" stroked="false">
              <v:textbox inset="0,0,0,0">
                <w:txbxContent>
                  <w:p>
                    <w:pPr>
                      <w:pStyle w:val="BodyText"/>
                      <w:spacing w:before="19"/>
                      <w:ind w:left="20"/>
                    </w:pPr>
                    <w:r>
                      <w:rPr/>
                      <w:t>CDSL</w:t>
                    </w:r>
                    <w:r>
                      <w:rPr>
                        <w:spacing w:val="-9"/>
                      </w:rPr>
                      <w:t> </w:t>
                    </w:r>
                    <w:r>
                      <w:rPr/>
                      <w:t>-</w:t>
                    </w:r>
                    <w:r>
                      <w:rPr>
                        <w:spacing w:val="-11"/>
                      </w:rPr>
                      <w:t> </w:t>
                    </w:r>
                    <w:r>
                      <w:rPr/>
                      <w:t>DP</w:t>
                    </w:r>
                    <w:r>
                      <w:rPr>
                        <w:spacing w:val="-10"/>
                      </w:rPr>
                      <w:t> </w:t>
                    </w:r>
                    <w:r>
                      <w:rPr/>
                      <w:t>Operating</w:t>
                    </w:r>
                    <w:r>
                      <w:rPr>
                        <w:spacing w:val="-7"/>
                      </w:rPr>
                      <w:t> </w:t>
                    </w:r>
                    <w:r>
                      <w:rPr/>
                      <w:t>Instructions</w:t>
                    </w:r>
                    <w:r>
                      <w:rPr>
                        <w:spacing w:val="-5"/>
                      </w:rPr>
                      <w:t> </w:t>
                    </w:r>
                    <w:r>
                      <w:rPr/>
                      <w:t>–</w:t>
                    </w:r>
                    <w:r>
                      <w:rPr>
                        <w:spacing w:val="-12"/>
                      </w:rPr>
                      <w:t> </w:t>
                    </w:r>
                    <w:r>
                      <w:rPr/>
                      <w:t>March</w:t>
                    </w:r>
                    <w:r>
                      <w:rPr>
                        <w:spacing w:val="-12"/>
                      </w:rPr>
                      <w:t> </w:t>
                    </w:r>
                    <w:r>
                      <w:rPr>
                        <w:spacing w:val="-4"/>
                      </w:rPr>
                      <w:t>2026</w:t>
                    </w:r>
                  </w:p>
                </w:txbxContent>
              </v:textbox>
              <w10:wrap type="none"/>
            </v:shape>
          </w:pict>
        </mc:Fallback>
      </mc:AlternateContent>
    </w:r>
    <w:r>
      <w:rPr/>
      <mc:AlternateContent>
        <mc:Choice Requires="wps">
          <w:drawing>
            <wp:anchor distT="0" distB="0" distL="0" distR="0" allowOverlap="1" layoutInCell="1" locked="0" behindDoc="1" simplePos="0" relativeHeight="487504384">
              <wp:simplePos x="0" y="0"/>
              <wp:positionH relativeFrom="page">
                <wp:posOffset>5975096</wp:posOffset>
              </wp:positionH>
              <wp:positionV relativeFrom="page">
                <wp:posOffset>9899329</wp:posOffset>
              </wp:positionV>
              <wp:extent cx="660400" cy="1784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60400" cy="178435"/>
                      </a:xfrm>
                      <a:prstGeom prst="rect">
                        <a:avLst/>
                      </a:prstGeom>
                    </wps:spPr>
                    <wps:txbx>
                      <w:txbxContent>
                        <w:p>
                          <w:pPr>
                            <w:pStyle w:val="BodyText"/>
                            <w:spacing w:before="19"/>
                            <w:ind w:left="20"/>
                          </w:pPr>
                          <w:r>
                            <w:rPr/>
                            <w:t>Page</w:t>
                          </w:r>
                          <w:r>
                            <w:rPr>
                              <w:spacing w:val="-5"/>
                            </w:rPr>
                            <w:t> </w:t>
                          </w:r>
                          <w:r>
                            <w:rPr/>
                            <w:t>1</w:t>
                          </w:r>
                          <w:r>
                            <w:rPr>
                              <w:spacing w:val="-7"/>
                            </w:rPr>
                            <w:t> </w:t>
                          </w:r>
                          <w:r>
                            <w:rPr/>
                            <w:t>of</w:t>
                          </w:r>
                          <w:r>
                            <w:rPr>
                              <w:spacing w:val="-4"/>
                            </w:rPr>
                            <w:t> </w:t>
                          </w:r>
                          <w:r>
                            <w:rPr>
                              <w:spacing w:val="-10"/>
                            </w:rPr>
                            <w:t>4</w:t>
                          </w:r>
                        </w:p>
                      </w:txbxContent>
                    </wps:txbx>
                    <wps:bodyPr wrap="square" lIns="0" tIns="0" rIns="0" bIns="0" rtlCol="0">
                      <a:noAutofit/>
                    </wps:bodyPr>
                  </wps:wsp>
                </a:graphicData>
              </a:graphic>
            </wp:anchor>
          </w:drawing>
        </mc:Choice>
        <mc:Fallback>
          <w:pict>
            <v:shape style="position:absolute;margin-left:470.480011pt;margin-top:779.474792pt;width:52pt;height:14.05pt;mso-position-horizontal-relative:page;mso-position-vertical-relative:page;z-index:-15812096" type="#_x0000_t202" id="docshape4" filled="false" stroked="false">
              <v:textbox inset="0,0,0,0">
                <w:txbxContent>
                  <w:p>
                    <w:pPr>
                      <w:pStyle w:val="BodyText"/>
                      <w:spacing w:before="19"/>
                      <w:ind w:left="20"/>
                    </w:pPr>
                    <w:r>
                      <w:rPr/>
                      <w:t>Page</w:t>
                    </w:r>
                    <w:r>
                      <w:rPr>
                        <w:spacing w:val="-5"/>
                      </w:rPr>
                      <w:t> </w:t>
                    </w:r>
                    <w:r>
                      <w:rPr/>
                      <w:t>1</w:t>
                    </w:r>
                    <w:r>
                      <w:rPr>
                        <w:spacing w:val="-7"/>
                      </w:rPr>
                      <w:t> </w:t>
                    </w:r>
                    <w:r>
                      <w:rPr/>
                      <w:t>of</w:t>
                    </w:r>
                    <w:r>
                      <w:rPr>
                        <w:spacing w:val="-4"/>
                      </w:rPr>
                      <w:t> </w:t>
                    </w:r>
                    <w:r>
                      <w:rPr>
                        <w:spacing w:val="-10"/>
                      </w:rPr>
                      <w:t>4</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05920">
              <wp:simplePos x="0" y="0"/>
              <wp:positionH relativeFrom="page">
                <wp:posOffset>896112</wp:posOffset>
              </wp:positionH>
              <wp:positionV relativeFrom="page">
                <wp:posOffset>10066020</wp:posOffset>
              </wp:positionV>
              <wp:extent cx="5770245" cy="63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5770245" cy="6350"/>
                      </a:xfrm>
                      <a:custGeom>
                        <a:avLst/>
                        <a:gdLst/>
                        <a:ahLst/>
                        <a:cxnLst/>
                        <a:rect l="l" t="t" r="r" b="b"/>
                        <a:pathLst>
                          <a:path w="5770245" h="6350">
                            <a:moveTo>
                              <a:pt x="5769864" y="6094"/>
                            </a:moveTo>
                            <a:lnTo>
                              <a:pt x="0" y="6094"/>
                            </a:lnTo>
                            <a:lnTo>
                              <a:pt x="0" y="0"/>
                            </a:lnTo>
                            <a:lnTo>
                              <a:pt x="5769864" y="0"/>
                            </a:lnTo>
                            <a:lnTo>
                              <a:pt x="5769864" y="609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792.600037pt;width:454.320019pt;height:.479919pt;mso-position-horizontal-relative:page;mso-position-vertical-relative:page;z-index:-15810560" id="docshape8"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506432">
              <wp:simplePos x="0" y="0"/>
              <wp:positionH relativeFrom="page">
                <wp:posOffset>901700</wp:posOffset>
              </wp:positionH>
              <wp:positionV relativeFrom="page">
                <wp:posOffset>10070017</wp:posOffset>
              </wp:positionV>
              <wp:extent cx="2647315" cy="17843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2647315" cy="178435"/>
                      </a:xfrm>
                      <a:prstGeom prst="rect">
                        <a:avLst/>
                      </a:prstGeom>
                    </wps:spPr>
                    <wps:txbx>
                      <w:txbxContent>
                        <w:p>
                          <w:pPr>
                            <w:pStyle w:val="BodyText"/>
                            <w:spacing w:before="19"/>
                            <w:ind w:left="20"/>
                          </w:pPr>
                          <w:r>
                            <w:rPr/>
                            <w:t>CDSL</w:t>
                          </w:r>
                          <w:r>
                            <w:rPr>
                              <w:spacing w:val="-8"/>
                            </w:rPr>
                            <w:t> </w:t>
                          </w:r>
                          <w:r>
                            <w:rPr/>
                            <w:t>-</w:t>
                          </w:r>
                          <w:r>
                            <w:rPr>
                              <w:spacing w:val="-12"/>
                            </w:rPr>
                            <w:t> </w:t>
                          </w:r>
                          <w:r>
                            <w:rPr/>
                            <w:t>DP</w:t>
                          </w:r>
                          <w:r>
                            <w:rPr>
                              <w:spacing w:val="-9"/>
                            </w:rPr>
                            <w:t> </w:t>
                          </w:r>
                          <w:r>
                            <w:rPr/>
                            <w:t>Operating</w:t>
                          </w:r>
                          <w:r>
                            <w:rPr>
                              <w:spacing w:val="-9"/>
                            </w:rPr>
                            <w:t> </w:t>
                          </w:r>
                          <w:r>
                            <w:rPr/>
                            <w:t>Instructions</w:t>
                          </w:r>
                          <w:r>
                            <w:rPr>
                              <w:spacing w:val="-4"/>
                            </w:rPr>
                            <w:t> </w:t>
                          </w:r>
                          <w:r>
                            <w:rPr/>
                            <w:t>-</w:t>
                          </w:r>
                          <w:r>
                            <w:rPr>
                              <w:spacing w:val="-12"/>
                            </w:rPr>
                            <w:t> </w:t>
                          </w:r>
                          <w:r>
                            <w:rPr/>
                            <w:t>March</w:t>
                          </w:r>
                          <w:r>
                            <w:rPr>
                              <w:spacing w:val="-10"/>
                            </w:rPr>
                            <w:t> </w:t>
                          </w:r>
                          <w:r>
                            <w:rPr>
                              <w:spacing w:val="-4"/>
                            </w:rPr>
                            <w:t>2026</w:t>
                          </w:r>
                        </w:p>
                      </w:txbxContent>
                    </wps:txbx>
                    <wps:bodyPr wrap="square" lIns="0" tIns="0" rIns="0" bIns="0" rtlCol="0">
                      <a:noAutofit/>
                    </wps:bodyPr>
                  </wps:wsp>
                </a:graphicData>
              </a:graphic>
            </wp:anchor>
          </w:drawing>
        </mc:Choice>
        <mc:Fallback>
          <w:pict>
            <v:shape style="position:absolute;margin-left:71pt;margin-top:792.914734pt;width:208.45pt;height:14.05pt;mso-position-horizontal-relative:page;mso-position-vertical-relative:page;z-index:-15810048" type="#_x0000_t202" id="docshape9" filled="false" stroked="false">
              <v:textbox inset="0,0,0,0">
                <w:txbxContent>
                  <w:p>
                    <w:pPr>
                      <w:pStyle w:val="BodyText"/>
                      <w:spacing w:before="19"/>
                      <w:ind w:left="20"/>
                    </w:pPr>
                    <w:r>
                      <w:rPr/>
                      <w:t>CDSL</w:t>
                    </w:r>
                    <w:r>
                      <w:rPr>
                        <w:spacing w:val="-8"/>
                      </w:rPr>
                      <w:t> </w:t>
                    </w:r>
                    <w:r>
                      <w:rPr/>
                      <w:t>-</w:t>
                    </w:r>
                    <w:r>
                      <w:rPr>
                        <w:spacing w:val="-12"/>
                      </w:rPr>
                      <w:t> </w:t>
                    </w:r>
                    <w:r>
                      <w:rPr/>
                      <w:t>DP</w:t>
                    </w:r>
                    <w:r>
                      <w:rPr>
                        <w:spacing w:val="-9"/>
                      </w:rPr>
                      <w:t> </w:t>
                    </w:r>
                    <w:r>
                      <w:rPr/>
                      <w:t>Operating</w:t>
                    </w:r>
                    <w:r>
                      <w:rPr>
                        <w:spacing w:val="-9"/>
                      </w:rPr>
                      <w:t> </w:t>
                    </w:r>
                    <w:r>
                      <w:rPr/>
                      <w:t>Instructions</w:t>
                    </w:r>
                    <w:r>
                      <w:rPr>
                        <w:spacing w:val="-4"/>
                      </w:rPr>
                      <w:t> </w:t>
                    </w:r>
                    <w:r>
                      <w:rPr/>
                      <w:t>-</w:t>
                    </w:r>
                    <w:r>
                      <w:rPr>
                        <w:spacing w:val="-12"/>
                      </w:rPr>
                      <w:t> </w:t>
                    </w:r>
                    <w:r>
                      <w:rPr/>
                      <w:t>March</w:t>
                    </w:r>
                    <w:r>
                      <w:rPr>
                        <w:spacing w:val="-10"/>
                      </w:rPr>
                      <w:t> </w:t>
                    </w:r>
                    <w:r>
                      <w:rPr>
                        <w:spacing w:val="-4"/>
                      </w:rPr>
                      <w:t>2026</w:t>
                    </w:r>
                  </w:p>
                </w:txbxContent>
              </v:textbox>
              <w10:wrap type="none"/>
            </v:shape>
          </w:pict>
        </mc:Fallback>
      </mc:AlternateContent>
    </w:r>
    <w:r>
      <w:rPr/>
      <mc:AlternateContent>
        <mc:Choice Requires="wps">
          <w:drawing>
            <wp:anchor distT="0" distB="0" distL="0" distR="0" allowOverlap="1" layoutInCell="1" locked="0" behindDoc="1" simplePos="0" relativeHeight="487506944">
              <wp:simplePos x="0" y="0"/>
              <wp:positionH relativeFrom="page">
                <wp:posOffset>5975096</wp:posOffset>
              </wp:positionH>
              <wp:positionV relativeFrom="page">
                <wp:posOffset>10070017</wp:posOffset>
              </wp:positionV>
              <wp:extent cx="660400" cy="1784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660400" cy="178435"/>
                      </a:xfrm>
                      <a:prstGeom prst="rect">
                        <a:avLst/>
                      </a:prstGeom>
                    </wps:spPr>
                    <wps:txbx>
                      <w:txbxContent>
                        <w:p>
                          <w:pPr>
                            <w:pStyle w:val="BodyText"/>
                            <w:spacing w:before="19"/>
                            <w:ind w:left="20"/>
                          </w:pPr>
                          <w:r>
                            <w:rPr/>
                            <w:t>Page</w:t>
                          </w:r>
                          <w:r>
                            <w:rPr>
                              <w:spacing w:val="-5"/>
                            </w:rPr>
                            <w:t> </w:t>
                          </w:r>
                          <w:r>
                            <w:rPr/>
                            <w:fldChar w:fldCharType="begin"/>
                          </w:r>
                          <w:r>
                            <w:rPr/>
                            <w:instrText> PAGE </w:instrText>
                          </w:r>
                          <w:r>
                            <w:rPr/>
                            <w:fldChar w:fldCharType="separate"/>
                          </w:r>
                          <w:r>
                            <w:rPr/>
                            <w:t>2</w:t>
                          </w:r>
                          <w:r>
                            <w:rPr/>
                            <w:fldChar w:fldCharType="end"/>
                          </w:r>
                          <w:r>
                            <w:rPr>
                              <w:spacing w:val="-7"/>
                            </w:rPr>
                            <w:t> </w:t>
                          </w:r>
                          <w:r>
                            <w:rPr/>
                            <w:t>of</w:t>
                          </w:r>
                          <w:r>
                            <w:rPr>
                              <w:spacing w:val="-4"/>
                            </w:rPr>
                            <w:t>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 style="position:absolute;margin-left:470.480011pt;margin-top:792.914734pt;width:52pt;height:14.05pt;mso-position-horizontal-relative:page;mso-position-vertical-relative:page;z-index:-15809536" type="#_x0000_t202" id="docshape10" filled="false" stroked="false">
              <v:textbox inset="0,0,0,0">
                <w:txbxContent>
                  <w:p>
                    <w:pPr>
                      <w:pStyle w:val="BodyText"/>
                      <w:spacing w:before="19"/>
                      <w:ind w:left="20"/>
                    </w:pPr>
                    <w:r>
                      <w:rPr/>
                      <w:t>Page</w:t>
                    </w:r>
                    <w:r>
                      <w:rPr>
                        <w:spacing w:val="-5"/>
                      </w:rPr>
                      <w:t> </w:t>
                    </w:r>
                    <w:r>
                      <w:rPr/>
                      <w:fldChar w:fldCharType="begin"/>
                    </w:r>
                    <w:r>
                      <w:rPr/>
                      <w:instrText> PAGE </w:instrText>
                    </w:r>
                    <w:r>
                      <w:rPr/>
                      <w:fldChar w:fldCharType="separate"/>
                    </w:r>
                    <w:r>
                      <w:rPr/>
                      <w:t>2</w:t>
                    </w:r>
                    <w:r>
                      <w:rPr/>
                      <w:fldChar w:fldCharType="end"/>
                    </w:r>
                    <w:r>
                      <w:rPr>
                        <w:spacing w:val="-7"/>
                      </w:rPr>
                      <w:t> </w:t>
                    </w:r>
                    <w:r>
                      <w:rPr/>
                      <w:t>of</w:t>
                    </w:r>
                    <w:r>
                      <w:rPr>
                        <w:spacing w:val="-4"/>
                      </w:rPr>
                      <w:t> </w:t>
                    </w:r>
                    <w:r>
                      <w:rPr>
                        <w:spacing w:val="-10"/>
                      </w:rPr>
                      <w:fldChar w:fldCharType="begin"/>
                    </w:r>
                    <w:r>
                      <w:rPr>
                        <w:spacing w:val="-10"/>
                      </w:rPr>
                      <w:instrText> NUMPAGES </w:instrText>
                    </w:r>
                    <w:r>
                      <w:rPr>
                        <w:spacing w:val="-10"/>
                      </w:rPr>
                      <w:fldChar w:fldCharType="separate"/>
                    </w:r>
                    <w:r>
                      <w:rPr>
                        <w:spacing w:val="-10"/>
                      </w:rPr>
                      <w:t>4</w:t>
                    </w:r>
                    <w:r>
                      <w:rPr>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02848">
              <wp:simplePos x="0" y="0"/>
              <wp:positionH relativeFrom="page">
                <wp:posOffset>896112</wp:posOffset>
              </wp:positionH>
              <wp:positionV relativeFrom="page">
                <wp:posOffset>621791</wp:posOffset>
              </wp:positionV>
              <wp:extent cx="5770245" cy="635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770245" cy="6350"/>
                      </a:xfrm>
                      <a:custGeom>
                        <a:avLst/>
                        <a:gdLst/>
                        <a:ahLst/>
                        <a:cxnLst/>
                        <a:rect l="l" t="t" r="r" b="b"/>
                        <a:pathLst>
                          <a:path w="5770245" h="6350">
                            <a:moveTo>
                              <a:pt x="5769864" y="6095"/>
                            </a:moveTo>
                            <a:lnTo>
                              <a:pt x="0" y="6095"/>
                            </a:lnTo>
                            <a:lnTo>
                              <a:pt x="0" y="0"/>
                            </a:lnTo>
                            <a:lnTo>
                              <a:pt x="5769864" y="0"/>
                            </a:lnTo>
                            <a:lnTo>
                              <a:pt x="5769864"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48.959999pt;width:454.320019pt;height:.479999pt;mso-position-horizontal-relative:page;mso-position-vertical-relative:page;z-index:-15813632"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503360">
              <wp:simplePos x="0" y="0"/>
              <wp:positionH relativeFrom="page">
                <wp:posOffset>5781547</wp:posOffset>
              </wp:positionH>
              <wp:positionV relativeFrom="page">
                <wp:posOffset>442909</wp:posOffset>
              </wp:positionV>
              <wp:extent cx="862330" cy="1784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62330" cy="178435"/>
                      </a:xfrm>
                      <a:prstGeom prst="rect">
                        <a:avLst/>
                      </a:prstGeom>
                    </wps:spPr>
                    <wps:txbx>
                      <w:txbxContent>
                        <w:p>
                          <w:pPr>
                            <w:spacing w:before="19"/>
                            <w:ind w:left="20" w:right="0" w:firstLine="0"/>
                            <w:jc w:val="left"/>
                            <w:rPr>
                              <w:b/>
                              <w:sz w:val="20"/>
                            </w:rPr>
                          </w:pPr>
                          <w:r>
                            <w:rPr>
                              <w:b/>
                              <w:spacing w:val="-2"/>
                              <w:sz w:val="20"/>
                            </w:rPr>
                            <w:t>Annexure</w:t>
                          </w:r>
                          <w:r>
                            <w:rPr>
                              <w:b/>
                              <w:spacing w:val="-8"/>
                              <w:sz w:val="20"/>
                            </w:rPr>
                            <w:t> </w:t>
                          </w:r>
                          <w:r>
                            <w:rPr>
                              <w:b/>
                              <w:spacing w:val="-5"/>
                              <w:sz w:val="20"/>
                            </w:rPr>
                            <w:t>2.7</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55.23999pt;margin-top:34.87476pt;width:67.9pt;height:14.05pt;mso-position-horizontal-relative:page;mso-position-vertical-relative:page;z-index:-15813120" type="#_x0000_t202" id="docshape2" filled="false" stroked="false">
              <v:textbox inset="0,0,0,0">
                <w:txbxContent>
                  <w:p>
                    <w:pPr>
                      <w:spacing w:before="19"/>
                      <w:ind w:left="20" w:right="0" w:firstLine="0"/>
                      <w:jc w:val="left"/>
                      <w:rPr>
                        <w:b/>
                        <w:sz w:val="20"/>
                      </w:rPr>
                    </w:pPr>
                    <w:r>
                      <w:rPr>
                        <w:b/>
                        <w:spacing w:val="-2"/>
                        <w:sz w:val="20"/>
                      </w:rPr>
                      <w:t>Annexure</w:t>
                    </w:r>
                    <w:r>
                      <w:rPr>
                        <w:b/>
                        <w:spacing w:val="-8"/>
                        <w:sz w:val="20"/>
                      </w:rPr>
                      <w:t> </w:t>
                    </w:r>
                    <w:r>
                      <w:rPr>
                        <w:b/>
                        <w:spacing w:val="-5"/>
                        <w:sz w:val="20"/>
                      </w:rPr>
                      <w:t>2.7</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04896">
              <wp:simplePos x="0" y="0"/>
              <wp:positionH relativeFrom="page">
                <wp:posOffset>896112</wp:posOffset>
              </wp:positionH>
              <wp:positionV relativeFrom="page">
                <wp:posOffset>621791</wp:posOffset>
              </wp:positionV>
              <wp:extent cx="5770245" cy="63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770245" cy="6350"/>
                      </a:xfrm>
                      <a:custGeom>
                        <a:avLst/>
                        <a:gdLst/>
                        <a:ahLst/>
                        <a:cxnLst/>
                        <a:rect l="l" t="t" r="r" b="b"/>
                        <a:pathLst>
                          <a:path w="5770245" h="6350">
                            <a:moveTo>
                              <a:pt x="5769864" y="6095"/>
                            </a:moveTo>
                            <a:lnTo>
                              <a:pt x="0" y="6095"/>
                            </a:lnTo>
                            <a:lnTo>
                              <a:pt x="0" y="0"/>
                            </a:lnTo>
                            <a:lnTo>
                              <a:pt x="5769864" y="0"/>
                            </a:lnTo>
                            <a:lnTo>
                              <a:pt x="5769864"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60005pt;margin-top:48.959999pt;width:454.320019pt;height:.479999pt;mso-position-horizontal-relative:page;mso-position-vertical-relative:page;z-index:-15811584" id="docshape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505408">
              <wp:simplePos x="0" y="0"/>
              <wp:positionH relativeFrom="page">
                <wp:posOffset>5781547</wp:posOffset>
              </wp:positionH>
              <wp:positionV relativeFrom="page">
                <wp:posOffset>442909</wp:posOffset>
              </wp:positionV>
              <wp:extent cx="862330" cy="17843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862330" cy="178435"/>
                      </a:xfrm>
                      <a:prstGeom prst="rect">
                        <a:avLst/>
                      </a:prstGeom>
                    </wps:spPr>
                    <wps:txbx>
                      <w:txbxContent>
                        <w:p>
                          <w:pPr>
                            <w:spacing w:before="19"/>
                            <w:ind w:left="20" w:right="0" w:firstLine="0"/>
                            <w:jc w:val="left"/>
                            <w:rPr>
                              <w:b/>
                              <w:sz w:val="20"/>
                            </w:rPr>
                          </w:pPr>
                          <w:r>
                            <w:rPr>
                              <w:b/>
                              <w:spacing w:val="-2"/>
                              <w:sz w:val="20"/>
                            </w:rPr>
                            <w:t>Annexure</w:t>
                          </w:r>
                          <w:r>
                            <w:rPr>
                              <w:b/>
                              <w:spacing w:val="-8"/>
                              <w:sz w:val="20"/>
                            </w:rPr>
                            <w:t> </w:t>
                          </w:r>
                          <w:r>
                            <w:rPr>
                              <w:b/>
                              <w:spacing w:val="-5"/>
                              <w:sz w:val="20"/>
                            </w:rPr>
                            <w:t>2.7</w:t>
                          </w:r>
                        </w:p>
                      </w:txbxContent>
                    </wps:txbx>
                    <wps:bodyPr wrap="square" lIns="0" tIns="0" rIns="0" bIns="0" rtlCol="0">
                      <a:noAutofit/>
                    </wps:bodyPr>
                  </wps:wsp>
                </a:graphicData>
              </a:graphic>
            </wp:anchor>
          </w:drawing>
        </mc:Choice>
        <mc:Fallback>
          <w:pict>
            <v:shape style="position:absolute;margin-left:455.23999pt;margin-top:34.87476pt;width:67.9pt;height:14.05pt;mso-position-horizontal-relative:page;mso-position-vertical-relative:page;z-index:-15811072" type="#_x0000_t202" id="docshape7" filled="false" stroked="false">
              <v:textbox inset="0,0,0,0">
                <w:txbxContent>
                  <w:p>
                    <w:pPr>
                      <w:spacing w:before="19"/>
                      <w:ind w:left="20" w:right="0" w:firstLine="0"/>
                      <w:jc w:val="left"/>
                      <w:rPr>
                        <w:b/>
                        <w:sz w:val="20"/>
                      </w:rPr>
                    </w:pPr>
                    <w:r>
                      <w:rPr>
                        <w:b/>
                        <w:spacing w:val="-2"/>
                        <w:sz w:val="20"/>
                      </w:rPr>
                      <w:t>Annexure</w:t>
                    </w:r>
                    <w:r>
                      <w:rPr>
                        <w:b/>
                        <w:spacing w:val="-8"/>
                        <w:sz w:val="20"/>
                      </w:rPr>
                      <w:t> </w:t>
                    </w:r>
                    <w:r>
                      <w:rPr>
                        <w:b/>
                        <w:spacing w:val="-5"/>
                        <w:sz w:val="20"/>
                      </w:rPr>
                      <w:t>2.7</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85" w:hanging="361"/>
        <w:jc w:val="right"/>
      </w:pPr>
      <w:rPr>
        <w:rFonts w:hint="default" w:ascii="Tahoma" w:hAnsi="Tahoma" w:eastAsia="Tahoma" w:cs="Tahoma"/>
        <w:b w:val="0"/>
        <w:bCs w:val="0"/>
        <w:i w:val="0"/>
        <w:iCs w:val="0"/>
        <w:spacing w:val="-2"/>
        <w:w w:val="97"/>
        <w:sz w:val="20"/>
        <w:szCs w:val="20"/>
        <w:lang w:val="en-US" w:eastAsia="en-US" w:bidi="ar-SA"/>
      </w:rPr>
    </w:lvl>
    <w:lvl w:ilvl="1">
      <w:start w:val="1"/>
      <w:numFmt w:val="decimal"/>
      <w:lvlText w:val="%2."/>
      <w:lvlJc w:val="left"/>
      <w:pPr>
        <w:ind w:left="1770" w:hanging="361"/>
        <w:jc w:val="left"/>
      </w:pPr>
      <w:rPr>
        <w:rFonts w:hint="default" w:ascii="Tahoma" w:hAnsi="Tahoma" w:eastAsia="Tahoma" w:cs="Tahoma"/>
        <w:b w:val="0"/>
        <w:bCs w:val="0"/>
        <w:i w:val="0"/>
        <w:iCs w:val="0"/>
        <w:spacing w:val="-2"/>
        <w:w w:val="97"/>
        <w:sz w:val="20"/>
        <w:szCs w:val="20"/>
        <w:lang w:val="en-US" w:eastAsia="en-US" w:bidi="ar-SA"/>
      </w:rPr>
    </w:lvl>
    <w:lvl w:ilvl="2">
      <w:start w:val="0"/>
      <w:numFmt w:val="bullet"/>
      <w:lvlText w:val="•"/>
      <w:lvlJc w:val="left"/>
      <w:pPr>
        <w:ind w:left="2621" w:hanging="361"/>
      </w:pPr>
      <w:rPr>
        <w:rFonts w:hint="default"/>
        <w:lang w:val="en-US" w:eastAsia="en-US" w:bidi="ar-SA"/>
      </w:rPr>
    </w:lvl>
    <w:lvl w:ilvl="3">
      <w:start w:val="0"/>
      <w:numFmt w:val="bullet"/>
      <w:lvlText w:val="•"/>
      <w:lvlJc w:val="left"/>
      <w:pPr>
        <w:ind w:left="3463" w:hanging="361"/>
      </w:pPr>
      <w:rPr>
        <w:rFonts w:hint="default"/>
        <w:lang w:val="en-US" w:eastAsia="en-US" w:bidi="ar-SA"/>
      </w:rPr>
    </w:lvl>
    <w:lvl w:ilvl="4">
      <w:start w:val="0"/>
      <w:numFmt w:val="bullet"/>
      <w:lvlText w:val="•"/>
      <w:lvlJc w:val="left"/>
      <w:pPr>
        <w:ind w:left="4305" w:hanging="361"/>
      </w:pPr>
      <w:rPr>
        <w:rFonts w:hint="default"/>
        <w:lang w:val="en-US" w:eastAsia="en-US" w:bidi="ar-SA"/>
      </w:rPr>
    </w:lvl>
    <w:lvl w:ilvl="5">
      <w:start w:val="0"/>
      <w:numFmt w:val="bullet"/>
      <w:lvlText w:val="•"/>
      <w:lvlJc w:val="left"/>
      <w:pPr>
        <w:ind w:left="5147" w:hanging="361"/>
      </w:pPr>
      <w:rPr>
        <w:rFonts w:hint="default"/>
        <w:lang w:val="en-US" w:eastAsia="en-US" w:bidi="ar-SA"/>
      </w:rPr>
    </w:lvl>
    <w:lvl w:ilvl="6">
      <w:start w:val="0"/>
      <w:numFmt w:val="bullet"/>
      <w:lvlText w:val="•"/>
      <w:lvlJc w:val="left"/>
      <w:pPr>
        <w:ind w:left="5989" w:hanging="361"/>
      </w:pPr>
      <w:rPr>
        <w:rFonts w:hint="default"/>
        <w:lang w:val="en-US" w:eastAsia="en-US" w:bidi="ar-SA"/>
      </w:rPr>
    </w:lvl>
    <w:lvl w:ilvl="7">
      <w:start w:val="0"/>
      <w:numFmt w:val="bullet"/>
      <w:lvlText w:val="•"/>
      <w:lvlJc w:val="left"/>
      <w:pPr>
        <w:ind w:left="6830" w:hanging="361"/>
      </w:pPr>
      <w:rPr>
        <w:rFonts w:hint="default"/>
        <w:lang w:val="en-US" w:eastAsia="en-US" w:bidi="ar-SA"/>
      </w:rPr>
    </w:lvl>
    <w:lvl w:ilvl="8">
      <w:start w:val="0"/>
      <w:numFmt w:val="bullet"/>
      <w:lvlText w:val="•"/>
      <w:lvlJc w:val="left"/>
      <w:pPr>
        <w:ind w:left="7672"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0"/>
      <w:szCs w:val="20"/>
      <w:lang w:val="en-US" w:eastAsia="en-US" w:bidi="ar-SA"/>
    </w:rPr>
  </w:style>
  <w:style w:styleId="Heading1" w:type="paragraph">
    <w:name w:val="Heading 1"/>
    <w:basedOn w:val="Normal"/>
    <w:uiPriority w:val="1"/>
    <w:qFormat/>
    <w:pPr>
      <w:spacing w:before="199"/>
      <w:ind w:left="165"/>
      <w:outlineLvl w:val="1"/>
    </w:pPr>
    <w:rPr>
      <w:rFonts w:ascii="Tahoma" w:hAnsi="Tahoma" w:eastAsia="Tahoma" w:cs="Tahoma"/>
      <w:b/>
      <w:bCs/>
      <w:sz w:val="20"/>
      <w:szCs w:val="20"/>
      <w:lang w:val="en-US" w:eastAsia="en-US" w:bidi="ar-SA"/>
    </w:rPr>
  </w:style>
  <w:style w:styleId="ListParagraph" w:type="paragraph">
    <w:name w:val="List Paragraph"/>
    <w:basedOn w:val="Normal"/>
    <w:uiPriority w:val="1"/>
    <w:qFormat/>
    <w:pPr>
      <w:ind w:left="885" w:right="323" w:hanging="361"/>
      <w:jc w:val="both"/>
    </w:pPr>
    <w:rPr>
      <w:rFonts w:ascii="Tahoma" w:hAnsi="Tahoma" w:eastAsia="Tahoma" w:cs="Tahom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DP Rights &amp; Obligations.docx</dc:title>
  <dcterms:created xsi:type="dcterms:W3CDTF">2026-06-04T05:39:53Z</dcterms:created>
  <dcterms:modified xsi:type="dcterms:W3CDTF">2026-06-04T05:39:53Z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2026-06-04T00:00:00Z</vt:filetime>
  </property>
  <property fmtid="{D5CDD505-2E9C-101B-9397-08002B2CF9AE}" pid="4" name="LastSaved">
    <vt:filetime>2026-06-04T00:00:00Z</vt:filetime>
  </property>
  <property fmtid="{D5CDD505-2E9C-101B-9397-08002B2CF9AE}" pid="5" name="Producer">
    <vt:lpwstr>Microsoft: Print To PDF</vt:lpwstr>
  </property>
</Properties>
</file>